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里耶秦简书法观察</w:t>
      </w:r>
    </w:p>
    <w:p>
      <w:pPr/>
      <w:r>
        <w:t>里耶秦简是2002年出土于湖南龙山里耶古城一号井的秦代官署档案，总数约三万八千枚，二十余万字。它不是为了传世而书写的艺术品，而是迁陵县廷日常行政留下的实用墨迹。正因为如此，它保存了秦代下层书手最真实的书写状态——既有规范工整的公文正件，也有率意潦草的日常录事，是观察“篆隶过渡”与秦系手写体演变不可多得的第一手材料。本文从笔法、结体、章法、书体定位与材料功能五个维度，整理一套可直接用于临习与教学的观察框架。</w:t>
      </w:r>
    </w:p>
    <w:p>
      <w:pPr>
        <w:pStyle w:val="Heading1"/>
      </w:pPr>
      <w:r>
        <w:t>一、笔法：从墨迹看秦隶的提按转折</w:t>
      </w:r>
    </w:p>
    <w:p>
      <w:pPr/>
      <w:r>
        <w:t>笔法是点画的书写方法，必须结合原简墨迹而非拓片或低清截图来观察。里耶秦简的笔意可归纳为几点。其一，横画平正略长，收笔多回锋或轻按，偶见波磔但不夸张，这是隶书从篆书“纵向引书”转向“横向分书”的早期形态。其二，竖画挺拔，起笔多藏锋，行笔中段略粗，收笔轻出，形成“钉头鼠尾”的短竖。其三，转折多方折，圆转较少；与篆书的圆转婉通相比，里耶简在“洞庭”“迁陵”“丞”等高频字中，凡遇折笔多作硬折，这是隶变的关键标志。其四，起收笔多露锋，尤其在背面收文记录、“某手”署名一类草率书写中，起笔直入、收笔拖锋，已见行书的雏形。</w:t>
      </w:r>
    </w:p>
    <w:p>
      <w:pPr/>
      <w:r>
        <w:t>观察提按时要区分两种书写状态：郡级下行公文（如16-5、16-6洞庭郡守礼文书）笔笔妥帖，提按分明；而追记、校簿一类日常文书（如8-1523、8-759）运笔加快，提按减弱，笔画连带增多。同一名书手在不同场合笔下的风格差异，本身就是秦代书写生态的一部分。</w:t>
      </w:r>
    </w:p>
    <w:p>
      <w:pPr>
        <w:pStyle w:val="Heading1"/>
      </w:pPr>
      <w:r>
        <w:t>二、结体：方扁端庄与率意欹侧</w:t>
      </w:r>
    </w:p>
    <w:p>
      <w:pPr/>
      <w:r>
        <w:t>结体指单字的间架结构。里耶秦简的字形以方整略扁为主，重心偏低，这与秦人尚朴、写字求稳的风尚一致。偏旁比例上，左右结构的字往往左紧右松，如“水旁”（江、汉、洞庭之“洞”）三点水写成简省的短横曲笔，右部“同”“巷”等方整；上下结构的字多上紧下松，如“迁”字走之旁平捺一波三折，托起上部。</w:t>
      </w:r>
    </w:p>
    <w:p>
      <w:pPr/>
      <w:r>
        <w:t>同字多写是里耶简的一大特色。以“更”“曰”反复出现的8-455更名方为例，同一字在十三列中书写大体稳定而又略有出入，可观察手写体在规范与率意之间的摆动。教学中应记录同字的不同写法，理解“规范是底线，变化是常态”，而不是把某一笔画当作定律。</w:t>
      </w:r>
    </w:p>
    <w:p>
      <w:pPr>
        <w:pStyle w:val="Heading1"/>
      </w:pPr>
      <w:r>
        <w:t>三、章法：公文简、木牍与签牌的不同布局</w:t>
      </w:r>
    </w:p>
    <w:p>
      <w:pPr/>
      <w:r>
        <w:t>章法是整简的版面经营。里耶简因功能不同而布局迥异。长篇公文（如8-157除邮人文书、8-755徒隶耕作文书）直行书写，字距紧凑、行距匀整，正文与背面收文、传递记录分层次排布，形成“正文—附记—署名”的视觉递减。宽幅木方（8-455、8-461更名方）分多栏排列条目，列间留白，便于对照查阅，是早期的“表格思维”。签牌类（“迁陵洞庭郡”“迁陵以邮行洞庭”）字大而疏，单列纵书，目的是在邮筒中一眼可辨，故不求工整而求醒目。</w:t>
      </w:r>
    </w:p>
    <w:p>
      <w:pPr/>
      <w:r>
        <w:t>因此讨论章法时必须先问“这枚简是干什么用的”：登记求整齐，传递求醒目，簿籍求检索。脱离器物功能谈布局，容易把展陈中的偶然位置当成本来面貌。</w:t>
      </w:r>
    </w:p>
    <w:p>
      <w:pPr>
        <w:pStyle w:val="Heading1"/>
      </w:pPr>
      <w:r>
        <w:t>四、书体定位：篆意、隶变与草化并存</w:t>
      </w:r>
    </w:p>
    <w:p>
      <w:pPr/>
      <w:r>
        <w:t>里耶秦简不是单一书体。它处于篆书向隶书过渡的秦代晚期，三种成分并存。篆书成分保留在规范化的标题与签牌中，如“迁陵洞庭郡”五字结构端庄、笔画圆厚，仍具篆意；隶书成分是主流，横扁化、方折多、偏旁简化，已接近典型秦隶；草化成分见于日常录事，笔画连带、简省，“某手”署名一类几乎是行草。</w:t>
      </w:r>
    </w:p>
    <w:p>
      <w:pPr/>
      <w:r>
        <w:t>正因为如此，单字风格与整篇风格要分开描述：一个字里可能既有篆意结构又有隶化笔道，一篇里可能工整与草率并存。临习时先取其规范者立骨，再吸收其率意者取势，避免只学一端。</w:t>
      </w:r>
    </w:p>
    <w:p>
      <w:pPr>
        <w:pStyle w:val="Heading1"/>
      </w:pPr>
      <w:r>
        <w:t>五、材料与功能：书写不脱离器物</w:t>
      </w:r>
    </w:p>
    <w:p>
      <w:pPr/>
      <w:r>
        <w:t>竹、木质地与简牍尺寸直接影响线条与布局。宽木方可分栏写大字，窄简只能单行密书；潮湿井中保存使墨色浓淡有异，红外成像又显现肉眼难辨的笔道。书法分析不能脱离器物信息：先记录简的形制、书写面、用途，再谈书法。否则会把展陈照上的反光、现代释文对照牌、VCG水印等误作原简内容。</w:t>
      </w:r>
    </w:p>
    <w:p>
      <w:pPr>
        <w:pStyle w:val="Heading1"/>
      </w:pPr>
      <w:r>
        <w:t>六、临习方法</w:t>
      </w:r>
    </w:p>
    <w:p>
      <w:pPr/>
      <w:r>
        <w:t>每次选取一枚简，先保存合法来源图版与完整出处；截取单字时保留编号、行位、方向与比例。先做忠实摹写，再按笔画、结构、章法三层拆解。临创转换时，明确标注哪些是原简特征、哪些是个人发挥。切勿把现代书法家的二次创作当成出土原字，也不要把博物馆展柜照里的现代释文对照当成简文本身。</w:t>
      </w:r>
    </w:p>
    <w:p>
      <w:pPr>
        <w:pStyle w:val="Heading1"/>
      </w:pPr>
      <w:r>
        <w:t>参考研究</w:t>
      </w:r>
    </w:p>
    <w:p>
      <w:pPr/>
      <w:r>
        <w:t>向彬《里耶秦简书法研究》分书写风格、笔画形态、结字构形、章法布局等角度归纳规律；王晓光《秦简牍书法研究》系统讨论秦系手写体演变。8-461更名方被研究者称为“秦篆带隶”，可作篆书与分栏木牍布局的对照案例。以上结论均应回到原图与正式图版逐条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