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里耶秦简户籍简（K27，南阳户人荆不更）</w:t>
      </w:r>
    </w:p>
    <w:p>
      <w:pPr>
        <w:pStyle w:val="Heading1"/>
      </w:pPr>
      <w:r>
        <w:t>来源出处</w:t>
      </w:r>
    </w:p>
    <w:p>
      <w:pPr/>
      <w:r>
        <w:t>里耶古城一号井出土，编号K27（一说8-19号户籍）。为秦代迁陵县南阳里户籍登记木牍，分五栏记户主、妻、子、女、奴婢。图版见里耶秦简博物馆陈列及《里耶秦简博物馆藏秦简》（中西书局，2016）。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8440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jikua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440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里耶秦简户籍简（K27，南阳户人荆不更）。出处：里耶古城一号井出土；里耶古城一号井出土，编号K27（一说8-19号户籍）。</w:t>
      </w:r>
    </w:p>
    <w:p>
      <w:pPr>
        <w:pStyle w:val="Heading1"/>
      </w:pPr>
      <w:r>
        <w:t>释文</w:t>
      </w:r>
    </w:p>
    <w:p>
      <w:pPr/>
      <w:r>
        <w:t>首栏记“南阳户人荆不更□□”，二栏“妻曰有”，三栏“子小上造绰”，四栏“子小女子□”。五栏分栏登记一家人口与爵位，是秦代户籍制度的实物。</w:t>
      </w:r>
    </w:p>
    <w:p>
      <w:pPr>
        <w:pStyle w:val="Heading1"/>
      </w:pPr>
      <w:r>
        <w:t>文字</w:t>
      </w:r>
    </w:p>
    <w:p>
      <w:pPr/>
      <w:r>
        <w:t>户籍分五栏纵列，栏与栏之间留白分隔；“户人”“妻曰”“子小”等登记套语重复出现，是观察秦代行政文书格式与户籍用语的典型材料。</w:t>
      </w:r>
    </w:p>
    <w:p>
      <w:pPr>
        <w:pStyle w:val="Heading1"/>
      </w:pPr>
      <w:r>
        <w:t>书法</w:t>
      </w:r>
    </w:p>
    <w:p>
      <w:pPr/>
      <w:r>
        <w:t>章法：五栏纵列书写，栏距匀整；每栏起首顶格，栏内字径统一，行列垂直。整体布局为登记造册设计，不追求艺术表现。</w:t>
      </w:r>
    </w:p>
    <w:p>
      <w:pPr/>
      <w:r>
        <w:t>笔法：墨色浓黑，运笔平直；横画略长，竖画挺直，转折方折，起收笔含蓄而近规范隶书。</w:t>
      </w:r>
    </w:p>
    <w:p>
      <w:pPr/>
      <w:r>
        <w:t>结体：字形方整略扁，结构端庄；登记文书要求工整，字势端正而少欹侧。</w:t>
      </w:r>
    </w:p>
    <w:p>
      <w:pPr/>
      <w:r>
        <w:t>篆隶关系：典型秦隶体态，横扁取势，方折成熟，篆书笔意基本蜕尽，是县廷登记文书的标准书风。</w:t>
      </w:r>
    </w:p>
    <w:p>
      <w:pPr/>
      <w:r>
        <w:t>典型单字写法（参看图2、图3）：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6986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户籍简-K27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698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户籍简首栏“南阳户人荆不更”局部放大。</w:t>
      </w:r>
    </w:p>
    <w:p>
      <w:pPr/>
      <w:r>
        <w:t>“户”：户字头覆盖下部“口”，方整端庄。</w:t>
      </w:r>
    </w:p>
    <w:p>
      <w:pPr/>
      <w:r>
        <w:t>“籍”：竹头简省，右部结构紧凑。</w:t>
      </w:r>
    </w:p>
    <w:p>
      <w:pPr/>
      <w:r>
        <w:t>“荆”：草头与“刑”配合，竖画挺直。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6986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户籍简-K27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698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“妻曰有”“子小上造绰”栏局部放大。</w:t>
      </w:r>
    </w:p>
    <w:p>
      <w:pPr>
        <w:pStyle w:val="Heading1"/>
      </w:pPr>
      <w:r>
        <w:t>简牍形制</w:t>
      </w:r>
    </w:p>
    <w:p>
      <w:pPr/>
      <w:r>
        <w:t>木牍，分五栏纵列书写；为户籍登记簿册，非私人简札。</w:t>
      </w:r>
    </w:p>
    <w:p>
      <w:pPr>
        <w:pStyle w:val="Heading1"/>
      </w:pPr>
      <w:r>
        <w:t>书写方式</w:t>
      </w:r>
    </w:p>
    <w:p>
      <w:pPr/>
      <w:r>
        <w:t>登记式书写，栏与栏分列不同家庭成员；便于按栏核查人口与爵位。</w:t>
      </w:r>
    </w:p>
    <w:p>
      <w:pPr>
        <w:pStyle w:val="Heading1"/>
      </w:pPr>
      <w:r>
        <w:t>美育价值</w:t>
      </w:r>
    </w:p>
    <w:p>
      <w:pPr/>
      <w:r>
        <w:t>可与现代户口本对照，理解秦代“编户齐民”制度；讨论登记文书的格式如何服务于行政统计。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