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里耶秦简秦历日简（2314正/背）</w:t>
      </w:r>
    </w:p>
    <w:p>
      <w:pPr>
        <w:pStyle w:val="Heading1"/>
      </w:pPr>
      <w:r>
        <w:t>来源出处</w:t>
      </w:r>
    </w:p>
    <w:p>
      <w:pPr/>
      <w:r>
        <w:t>里耶古城一号井出土，编号2314。记秦始皇二十四年（前223年）十二月至六月历日，是复原秦历的关键材料。里耶秦简博物馆藏；2012年中国邮政《里耶秦简》特种邮票第二枚图案即取历日简。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91355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ri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135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里耶秦简秦历日简（2314正/背）。出处：里耶古城一号井出土；里耶古城一号井出土，编号2314。</w:t>
      </w:r>
    </w:p>
    <w:p>
      <w:pPr>
        <w:pStyle w:val="Heading1"/>
      </w:pPr>
      <w:r>
        <w:t>释文</w:t>
      </w:r>
    </w:p>
    <w:p>
      <w:pPr/>
      <w:r>
        <w:t>正反两面逐日排列月份干支，自十二月至六月；秦以十月为岁首，此历日证实秦历不同于《颛顼历》。</w:t>
      </w:r>
    </w:p>
    <w:p>
      <w:pPr>
        <w:pStyle w:val="Heading1"/>
      </w:pPr>
      <w:r>
        <w:t>文字</w:t>
      </w:r>
    </w:p>
    <w:p>
      <w:pPr/>
      <w:r>
        <w:t>干支日期逐日纵列，行密字小；是历法备忘录，书写密集而整齐。</w:t>
      </w:r>
    </w:p>
    <w:p>
      <w:pPr>
        <w:pStyle w:val="Heading1"/>
      </w:pPr>
      <w:r>
        <w:t>书法</w:t>
      </w:r>
    </w:p>
    <w:p>
      <w:pPr/>
      <w:r>
        <w:t>章法：逐日干支纵列，行距紧密；字小而行列垂直，便于按日查阅。</w:t>
      </w:r>
    </w:p>
    <w:p>
      <w:pPr/>
      <w:r>
        <w:t>笔法：墨色清淡，运笔加快；横画略斜，转折方折，起收露锋，有行书连带。</w:t>
      </w:r>
    </w:p>
    <w:p>
      <w:pPr/>
      <w:r>
        <w:t>结体：字形方扁，字小而密；因信息量大而压缩字径。</w:t>
      </w:r>
    </w:p>
    <w:p>
      <w:pPr/>
      <w:r>
        <w:t>篆隶关系：秦隶带行意，草率端倪已现；是日常历法记录，较正式公文更率意。</w:t>
      </w:r>
    </w:p>
    <w:p>
      <w:pPr/>
      <w:r>
        <w:t>典型单字写法（参看图2、图3）：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400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秦历日简-2314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400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历日简正面干支局部放大。</w:t>
      </w:r>
    </w:p>
    <w:p>
      <w:pPr/>
      <w:r>
        <w:t>“甲”：字头与“日”配合。</w:t>
      </w:r>
    </w:p>
    <w:p>
      <w:pPr/>
      <w:r>
        <w:t>“子”：横撇竖弯钩，简率。</w:t>
      </w:r>
    </w:p>
    <w:p>
      <w:pPr/>
      <w:r>
        <w:t>“朔”：左“月”旁竖长，右部紧凑。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40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秦历日简-2314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4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历日简背面局部放大。</w:t>
      </w:r>
    </w:p>
    <w:p>
      <w:pPr>
        <w:pStyle w:val="Heading1"/>
      </w:pPr>
      <w:r>
        <w:t>简牍形制</w:t>
      </w:r>
    </w:p>
    <w:p>
      <w:pPr/>
      <w:r>
        <w:t>木简，正反两面均写历日；字密行紧。</w:t>
      </w:r>
    </w:p>
    <w:p>
      <w:pPr>
        <w:pStyle w:val="Heading1"/>
      </w:pPr>
      <w:r>
        <w:t>书写方式</w:t>
      </w:r>
    </w:p>
    <w:p>
      <w:pPr/>
      <w:r>
        <w:t>作为历法备忘书写，逐日排列；便于按日对照。</w:t>
      </w:r>
    </w:p>
    <w:p>
      <w:pPr>
        <w:pStyle w:val="Heading1"/>
      </w:pPr>
      <w:r>
        <w:t>美育价值</w:t>
      </w:r>
    </w:p>
    <w:p>
      <w:pPr/>
      <w:r>
        <w:t>可作秦历复原与古代日历设计案例；讨论密集书写如何服务于时间记录。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