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里耶秦简“迁陵洞庭郡”签牌木牍</w:t>
      </w:r>
    </w:p>
    <w:p>
      <w:pPr>
        <w:pStyle w:val="Heading1"/>
      </w:pPr>
      <w:r>
        <w:t>来源出处</w:t>
      </w:r>
    </w:p>
    <w:p>
      <w:pPr/>
      <w:r>
        <w:t>里耶古城一号井出土。竖排五字“迁陵洞庭郡”，是证实秦代设有洞庭郡的关键实物——《史记》《汉书》未载洞庭郡，此简补史之阙。里耶秦简博物馆镇馆之宝。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40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gtingju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40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里耶秦简“迁陵洞庭郡”签牌木牍。出处：里耶古城一号井出土；里耶古城一号井出土。</w:t>
      </w:r>
    </w:p>
    <w:p>
      <w:pPr>
        <w:pStyle w:val="Heading1"/>
      </w:pPr>
      <w:r>
        <w:t>释文</w:t>
      </w:r>
    </w:p>
    <w:p>
      <w:pPr/>
      <w:r>
        <w:t>牍面竖排五字“遷陵洞庭郡”，点明迁陵县隶属洞庭郡。此简一出，颠覆了秦郡区划旧说。</w:t>
      </w:r>
    </w:p>
    <w:p>
      <w:pPr>
        <w:pStyle w:val="Heading1"/>
      </w:pPr>
      <w:r>
        <w:t>文字</w:t>
      </w:r>
    </w:p>
    <w:p>
      <w:pPr/>
      <w:r>
        <w:t>五字单列纵排，字大而醒目；是签牌或标题式书写，非长篇公文。</w:t>
      </w:r>
    </w:p>
    <w:p>
      <w:pPr>
        <w:pStyle w:val="Heading1"/>
      </w:pPr>
      <w:r>
        <w:t>书法</w:t>
      </w:r>
    </w:p>
    <w:p>
      <w:pPr/>
      <w:r>
        <w:t>章法：五字单列纵书，字距匀停；字大而居中，强调标识功能。</w:t>
      </w:r>
    </w:p>
    <w:p>
      <w:pPr/>
      <w:r>
        <w:t>笔法：墨色浓黑，运笔沉厚；横画平直，竖画挺拔，转折方折，起收笔有力。</w:t>
      </w:r>
    </w:p>
    <w:p>
      <w:pPr/>
      <w:r>
        <w:t>结体：字形方整，结体庄重；“郡”字末笔捺画舒展，全牍重心稳定。</w:t>
      </w:r>
    </w:p>
    <w:p>
      <w:pPr/>
      <w:r>
        <w:t>篆隶关系：秦隶体态，横扁取势，方折成熟；是标识性书写，庄重而规范。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2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迁陵洞庭郡签牌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2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“迁陵”二字局部放大。</w:t>
      </w:r>
    </w:p>
    <w:p>
      <w:pPr/>
      <w:r>
        <w:t>“迁”：走之旁平捺舒展。</w:t>
      </w:r>
    </w:p>
    <w:p>
      <w:pPr/>
      <w:r>
        <w:t>“陵”：左阜旁竖长，右部紧凑。</w:t>
      </w:r>
    </w:p>
    <w:p>
      <w:pPr/>
      <w:r>
        <w:t>“郡”：“邑”旁耳刀挺直，末笔捺画开张。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2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迁陵洞庭郡签牌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2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“洞庭郡”三字局部放大。</w:t>
      </w:r>
    </w:p>
    <w:p>
      <w:pPr>
        <w:pStyle w:val="Heading1"/>
      </w:pPr>
      <w:r>
        <w:t>简牍形制</w:t>
      </w:r>
    </w:p>
    <w:p>
      <w:pPr/>
      <w:r>
        <w:t>木检，窄长条，单列五字；为标识签牌。</w:t>
      </w:r>
    </w:p>
    <w:p>
      <w:pPr>
        <w:pStyle w:val="Heading1"/>
      </w:pPr>
      <w:r>
        <w:t>书写方式</w:t>
      </w:r>
    </w:p>
    <w:p>
      <w:pPr/>
      <w:r>
        <w:t>作为郡名标识书写，单列纵排，醒目庄重。</w:t>
      </w:r>
    </w:p>
    <w:p>
      <w:pPr>
        <w:pStyle w:val="Heading1"/>
      </w:pPr>
      <w:r>
        <w:t>美育价值</w:t>
      </w:r>
    </w:p>
    <w:p>
      <w:pPr/>
      <w:r>
        <w:t>补史之阙的关键文物；讨论标题式书写如何以最少字数承载最大历史信息量。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