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里耶秦简邮路里程表木牍（正反）</w:t>
      </w:r>
    </w:p>
    <w:p>
      <w:pPr>
        <w:pStyle w:val="Heading1"/>
      </w:pPr>
      <w:r>
        <w:t>来源出处</w:t>
      </w:r>
    </w:p>
    <w:p>
      <w:pPr/>
      <w:r>
        <w:t>里耶古城一号井出土。记从南郡属县到洞庭郡迁陵县所经站点及里程，是已知最早水驿交通史料。里耶秦简博物馆藏。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hengbia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里耶秦简邮路里程表木牍（正反）。出处：里耶古城一号井出土；里耶古城一号井出土。</w:t>
      </w:r>
    </w:p>
    <w:p>
      <w:pPr>
        <w:pStyle w:val="Heading1"/>
      </w:pPr>
      <w:r>
        <w:t>释文</w:t>
      </w:r>
    </w:p>
    <w:p>
      <w:pPr/>
      <w:r>
        <w:t>正面分行记各站地名与里程（如“鄢到销百八十四里”“销到江陵百册里”），背面空白或残。是秦代邮路交通的实测记录。</w:t>
      </w:r>
    </w:p>
    <w:p>
      <w:pPr>
        <w:pStyle w:val="Heading1"/>
      </w:pPr>
      <w:r>
        <w:t>文字</w:t>
      </w:r>
    </w:p>
    <w:p>
      <w:pPr/>
      <w:r>
        <w:t>地名与里程数字分行排列，每站一条；数字与地名夹杂，是交通信息检索表。</w:t>
      </w:r>
    </w:p>
    <w:p>
      <w:pPr>
        <w:pStyle w:val="Heading1"/>
      </w:pPr>
      <w:r>
        <w:t>书法</w:t>
      </w:r>
    </w:p>
    <w:p>
      <w:pPr/>
      <w:r>
        <w:t>章法：正面分行排列条目，字距紧凑；条目按站次第下行，布局服务于里程检索。</w:t>
      </w:r>
    </w:p>
    <w:p>
      <w:pPr/>
      <w:r>
        <w:t>笔法：墨色清淡，运笔简捷；横画略斜，竖画短促，转折方折。</w:t>
      </w:r>
    </w:p>
    <w:p>
      <w:pPr/>
      <w:r>
        <w:t>结体：字形偏方，数字与地名大小参差；因是实用记录，不拘工整。</w:t>
      </w:r>
    </w:p>
    <w:p>
      <w:pPr/>
      <w:r>
        <w:t>篆隶关系：秦隶体态，结构简省，数字写法率意，与登记文书的工整有别。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邮路里程表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正面里程条目局部放大。</w:t>
      </w:r>
    </w:p>
    <w:p>
      <w:pPr/>
      <w:r>
        <w:t>“鄢”：右部“邑”旁竖长。</w:t>
      </w:r>
    </w:p>
    <w:p>
      <w:pPr/>
      <w:r>
        <w:t>“销”：金旁紧凑，“肖”部横画平行。</w:t>
      </w:r>
    </w:p>
    <w:p>
      <w:pPr/>
      <w:r>
        <w:t>“里”：田部与土部上下排列。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邮路里程表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数字与地名行款局部放大。</w:t>
      </w:r>
    </w:p>
    <w:p>
      <w:pPr>
        <w:pStyle w:val="Heading1"/>
      </w:pPr>
      <w:r>
        <w:t>简牍形制</w:t>
      </w:r>
    </w:p>
    <w:p>
      <w:pPr/>
      <w:r>
        <w:t>木牍，正反两面；正面记里程条目，背面残或无字。</w:t>
      </w:r>
    </w:p>
    <w:p>
      <w:pPr>
        <w:pStyle w:val="Heading1"/>
      </w:pPr>
      <w:r>
        <w:t>书写方式</w:t>
      </w:r>
    </w:p>
    <w:p>
      <w:pPr/>
      <w:r>
        <w:t>作为交通里程记录书写，条目化排列；便于按站查算距离。</w:t>
      </w:r>
    </w:p>
    <w:p>
      <w:pPr>
        <w:pStyle w:val="Heading1"/>
      </w:pPr>
      <w:r>
        <w:t>美育价值</w:t>
      </w:r>
    </w:p>
    <w:p>
      <w:pPr/>
      <w:r>
        <w:t>可作秦代交通史与信息设计案例；讨论古代“数据表”如何排列地名与数字。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