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里耶秦简迁陵吏员志（7-679/9-631）</w:t>
      </w:r>
    </w:p>
    <w:p>
      <w:pPr>
        <w:pStyle w:val="Heading1"/>
      </w:pPr>
      <w:r>
        <w:t>来源出处</w:t>
      </w:r>
    </w:p>
    <w:p>
      <w:pPr/>
      <w:r>
        <w:t>里耶古城一号井（部分为护城壕K11/K12）出土，里耶秦简博物馆藏；湖南省文物考古研究所编《里耶秦简（壹）（贰）（叁）》，文物出版社。据博物馆展陈照/正式图版。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0021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yuanzhi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0021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 里耶秦简迁陵吏员志（7-679/9-631）。出处：里耶秦简博物馆藏；据展陈照/图版。</w:t>
      </w:r>
    </w:p>
    <w:p>
      <w:pPr>
        <w:pStyle w:val="Heading1"/>
      </w:pPr>
      <w:r>
        <w:t>释文</w:t>
      </w:r>
    </w:p>
    <w:p>
      <w:pPr/>
      <w:r>
        <w:t>分四栏统计迁陵县吏员：令史、乡守、牢监、校长等员数与缺员数，是县廷编制簿。</w:t>
      </w:r>
    </w:p>
    <w:p>
      <w:pPr>
        <w:pStyle w:val="Heading1"/>
      </w:pPr>
      <w:r>
        <w:t>文字</w:t>
      </w:r>
    </w:p>
    <w:p>
      <w:pPr/>
      <w:r>
        <w:t>该简为秦代迁陵县行政档案，字体属秦隶；同字多写可观察字形稳定度与书手笔意。</w:t>
      </w:r>
    </w:p>
    <w:p>
      <w:pPr>
        <w:pStyle w:val="Heading1"/>
      </w:pPr>
      <w:r>
        <w:t>书法</w:t>
      </w:r>
    </w:p>
    <w:p>
      <w:pPr/>
      <w:r>
        <w:t>章法：条目或数字直行排列，行列紧凑；按统计项或时分段，服务于检索与考课。</w:t>
      </w:r>
    </w:p>
    <w:p>
      <w:pPr/>
      <w:r>
        <w:t>笔法：墨色有浓淡，运笔简捷；横画略斜，转折方折，数字写法率意。</w:t>
      </w:r>
    </w:p>
    <w:p>
      <w:pPr/>
      <w:r>
        <w:t>结体：字形偏方，字径随内容参差；实用记录不拘工整。</w:t>
      </w:r>
    </w:p>
    <w:p>
      <w:pPr/>
      <w:r>
        <w:t>篆隶关系：秦隶体态，结构简省；因是簿籍，书写较公文更见率意。</w:t>
      </w:r>
    </w:p>
    <w:p>
      <w:pPr/>
      <w:r>
        <w:t>典型单字写法（参看图2、图3）：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4384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yuanzhi_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438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 整简局部放大，可见行款笔意。</w:t>
      </w:r>
    </w:p>
    <w:p>
      <w:pPr/>
      <w:r>
        <w:t>“吏”：一部与史部配合。</w:t>
      </w:r>
    </w:p>
    <w:p>
      <w:pPr/>
      <w:r>
        <w:t>“员”：口部方整。</w:t>
      </w:r>
    </w:p>
    <w:p>
      <w:pPr/>
      <w:r>
        <w:t>“令”：人字头覆盖。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43842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yuanzhi_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438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  整简局部放大，可见转折与结体。</w:t>
      </w:r>
    </w:p>
    <w:p>
      <w:pPr>
        <w:pStyle w:val="Heading1"/>
      </w:pPr>
      <w:r>
        <w:t>简牍形制</w:t>
      </w:r>
    </w:p>
    <w:p>
      <w:pPr/>
      <w:r>
        <w:t>木质简牍，墨书；为秦代洞庭郡迁陵县官署档案，原出于一号井废弃堆积。</w:t>
      </w:r>
    </w:p>
    <w:p>
      <w:pPr>
        <w:pStyle w:val="Heading1"/>
      </w:pPr>
      <w:r>
        <w:t>书写方式</w:t>
      </w:r>
    </w:p>
    <w:p>
      <w:pPr/>
      <w:r>
        <w:t>毛笔墨书，直行自上而下；按文书类型分栏或分行，便于检索。</w:t>
      </w:r>
    </w:p>
    <w:p>
      <w:pPr>
        <w:pStyle w:val="Heading1"/>
      </w:pPr>
      <w:r>
        <w:t>美育价值</w:t>
      </w:r>
    </w:p>
    <w:p>
      <w:pPr/>
      <w:r>
        <w:t>可观察秦代基层行政文书的实用书风：为办事而写，不为观赏而书；讨论实用书写如何形成秦隶的典型面貌。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