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户籍简·高里户人大女子杜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73096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_singl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7309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图注：里耶古城（秦简）博物馆展陈；视觉中国图版</w:t>
      </w:r>
    </w:p>
    <w:p>
      <w:r>
        <w:t>章法：户籍简逐户登记，行列分明、字距紧凑；一人一户信息纵向排列，便于检索核对。</w:t>
      </w:r>
    </w:p>
    <w:p>
      <w:r>
        <w:t>笔法：笔画工整，起收笔交代清楚；横平竖直，提按有度；转折多作方折，是秦代书手的规范写法。</w:t>
      </w:r>
    </w:p>
    <w:p>
      <w:r>
        <w:t>结体：字形方整，偏旁比例匀称；姓名、年龄、身份等高频字写法稳定，是秦隶的标准间架。</w:t>
      </w:r>
    </w:p>
    <w:p>
      <w:r>
        <w:t>篆隶关系：篆意弱化，隶化程度较高；波磔初现而不夸张，已是成熟秦隶的面貌。</w:t>
      </w:r>
    </w:p>
    <w:p>
      <w:r>
        <w:t>局部放大（上半 / 下半）：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45762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9_to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45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45762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9_bo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45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单字写法分析：此简高频字如“迁”“陵”“洞庭”等，走之旁平捺一波三折，三点水简省为短横曲笔，“曰”字外框方折、内横居中；与同期其他简对比，可见秦代书手在规范写法基础上的率意变化，是临习秦隶的典型样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