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4A256">
      <w:pPr>
        <w:pStyle w:val="31"/>
      </w:pPr>
      <w:r>
        <w:t>里耶秦简垦田记录简阵列</w:t>
      </w:r>
    </w:p>
    <w:p w14:paraId="36D4ECC8">
      <w:pPr>
        <w:pStyle w:val="3"/>
      </w:pPr>
      <w:r>
        <w:t>来源出处</w:t>
      </w:r>
    </w:p>
    <w:p w14:paraId="1AE0013C">
      <w:r>
        <w:t>里耶古城一号井（部分为护城壕K11/K12）出土，里耶秦简博物馆藏；湖南省文物考古研究所编《里耶秦简（壹）（贰）（叁）》，文物出版社。据博物馆展陈照/正式图版。</w:t>
      </w:r>
    </w:p>
    <w:p w14:paraId="2C75053D">
      <w:pPr>
        <w:pStyle w:val="3"/>
      </w:pPr>
      <w:r>
        <w:t>图片</w:t>
      </w:r>
    </w:p>
    <w:p w14:paraId="414C9150">
      <w:pPr>
        <w:jc w:val="center"/>
      </w:pPr>
      <w:r>
        <w:drawing>
          <wp:inline distT="0" distB="0" distL="114300" distR="114300">
            <wp:extent cx="3599815" cy="2465705"/>
            <wp:effectExtent l="0" t="0" r="698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439E">
      <w:pPr>
        <w:pStyle w:val="15"/>
        <w:jc w:val="center"/>
      </w:pPr>
      <w:r>
        <w:t>图1  里耶秦简垦田记录简阵列。出处：里耶秦简博物馆藏；据展陈照/图版。</w:t>
      </w:r>
    </w:p>
    <w:p w14:paraId="217C4165">
      <w:pPr>
        <w:pStyle w:val="3"/>
      </w:pPr>
      <w:r>
        <w:t>释文</w:t>
      </w:r>
    </w:p>
    <w:p w14:paraId="623CB498">
      <w:r>
        <w:t>七枚垦田简并列展陈，记各乡新垦田土顷亩；秦代重农政策的县政记录。</w:t>
      </w:r>
    </w:p>
    <w:p w14:paraId="3F351BD4">
      <w:pPr>
        <w:pStyle w:val="3"/>
      </w:pPr>
      <w:r>
        <w:t>文字</w:t>
      </w:r>
    </w:p>
    <w:p w14:paraId="386FFCFC">
      <w:r>
        <w:t>该简为秦代迁陵县行政档案，字体属秦隶；同字多写可观察字形稳定度与书手笔意。</w:t>
      </w:r>
    </w:p>
    <w:p w14:paraId="768E4C74">
      <w:pPr>
        <w:pStyle w:val="3"/>
      </w:pPr>
      <w:r>
        <w:t>书法</w:t>
      </w:r>
    </w:p>
    <w:p w14:paraId="4A991B5B">
      <w:r>
        <w:t>章法：条目或数字直行排列，行列紧凑；按统计项或时分段，服务于检索与考课。</w:t>
      </w:r>
    </w:p>
    <w:p w14:paraId="484C137C">
      <w:r>
        <w:t>笔法：墨色有浓淡，运笔简捷；横画略斜，转折方折，数字写法率意。</w:t>
      </w:r>
    </w:p>
    <w:p w14:paraId="060E1054">
      <w:r>
        <w:t>结体：字形偏方，字径随内容参差；实用记录不拘工整。</w:t>
      </w:r>
    </w:p>
    <w:p w14:paraId="25EB2CAF">
      <w:r>
        <w:t>篆隶关系：秦隶体态，结构简省；因是簿籍，书写较公文更见率意。</w:t>
      </w:r>
    </w:p>
    <w:p w14:paraId="7C07BD3B">
      <w:r>
        <w:t>典型单字写法（参看图2、图3）：</w:t>
      </w:r>
    </w:p>
    <w:p w14:paraId="1391EB64">
      <w:pPr>
        <w:jc w:val="center"/>
      </w:pPr>
      <w:r>
        <w:drawing>
          <wp:inline distT="0" distB="0" distL="114300" distR="114300">
            <wp:extent cx="2699385" cy="1849120"/>
            <wp:effectExtent l="0" t="0" r="571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8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A2DA">
      <w:pPr>
        <w:pStyle w:val="15"/>
        <w:jc w:val="center"/>
      </w:pPr>
      <w:r>
        <w:t>图2  整简局部放大，可见行款笔意。</w:t>
      </w:r>
    </w:p>
    <w:p w14:paraId="1A294E77">
      <w:r>
        <w:t>“垦”：土部与豙部。</w:t>
      </w:r>
    </w:p>
    <w:p w14:paraId="0F7D193C">
      <w:r>
        <w:t>“田”：十字分格。</w:t>
      </w:r>
    </w:p>
    <w:p w14:paraId="667C22DA">
      <w:r>
        <w:t>“顷”：匕部与页部。</w:t>
      </w:r>
    </w:p>
    <w:p w14:paraId="42A73B64">
      <w:pPr>
        <w:pStyle w:val="3"/>
      </w:pPr>
      <w:bookmarkStart w:id="0" w:name="_GoBack"/>
      <w:bookmarkEnd w:id="0"/>
      <w:r>
        <w:t>简牍形制</w:t>
      </w:r>
    </w:p>
    <w:p w14:paraId="06D63C63">
      <w:r>
        <w:t>木质简牍，墨书；为秦代洞庭郡迁陵县官署档案，原出于一号井废弃堆积。</w:t>
      </w:r>
    </w:p>
    <w:p w14:paraId="781179DD">
      <w:pPr>
        <w:pStyle w:val="3"/>
      </w:pPr>
      <w:r>
        <w:t>书写方式</w:t>
      </w:r>
    </w:p>
    <w:p w14:paraId="26BE6B45">
      <w:r>
        <w:t>毛笔墨书，直行自上而下；按文书类型分栏或分行，便于检索。</w:t>
      </w:r>
    </w:p>
    <w:p w14:paraId="0224982A">
      <w:pPr>
        <w:pStyle w:val="3"/>
      </w:pPr>
      <w:r>
        <w:t>美育价值</w:t>
      </w:r>
    </w:p>
    <w:p w14:paraId="41C49EF8">
      <w:r>
        <w:t>可观察秦代基层行政文书的实用书风：为办事而写，不为观赏而书；讨论实用书写如何形成秦隶的典型面貌。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C5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521</Words>
  <Characters>527</Characters>
  <Lines>0</Lines>
  <Paragraphs>0</Paragraphs>
  <TotalTime>0</TotalTime>
  <ScaleCrop>false</ScaleCrop>
  <LinksUpToDate>false</LinksUpToDate>
  <CharactersWithSpaces>533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李振宁</cp:lastModifiedBy>
  <dcterms:modified xsi:type="dcterms:W3CDTF">2026-10-13T09:34:50Z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eyJoZGlkIjoiNmFiODQ1YzQ2ZDRkZWJhMTZhNWQzYjQ5MjYwYzU3NWMiLCJ1c2VySWQiOiIxODU1NDM4MDMzIn0=</vt:lpwstr>
  </property>
  <property fmtid="{D5CDD505-2E9C-101B-9397-08002B2CF9AE}" pid="3" name="KSOProductBuildVer">
    <vt:lpwstr>2052-12.1.0.28043</vt:lpwstr>
  </property>
  <property fmtid="{D5CDD505-2E9C-101B-9397-08002B2CF9AE}" pid="4" name="ICV">
    <vt:lpwstr>0FD2C24506C24111BCFD1ACF468D1B39_12</vt:lpwstr>
  </property>
</Properties>
</file>