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田租简（8-1519·迁陵卅五年垦田舆）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69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anzu8151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9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图注：里耶古城（秦简）博物馆展陈；新湖南《税赋之源》图版</w:t>
      </w:r>
    </w:p>
    <w:p>
      <w:r>
        <w:t>章法：簿籍类简条目密集，行列紧凑；数字与文字混排，数字简省方折，便于快速登记与统计。</w:t>
      </w:r>
    </w:p>
    <w:p>
      <w:r>
        <w:t>笔法：行笔较快，提按减弱；起收笔直率，连笔增多；数字笔画简省，是秦代书手日常录事的典型笔法。</w:t>
      </w:r>
    </w:p>
    <w:p>
      <w:r>
        <w:t>结体：字形略扁，欹正相生；数字写法高度简化，偏旁多有省并，体现实用书写的效率取向。</w:t>
      </w:r>
    </w:p>
    <w:p>
      <w:r>
        <w:t>篆隶关系：隶化为主流，草化已见端倪；个别规范字仍存篆构，但整体已是秦隶向汉隶过渡的状态。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683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5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8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6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5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