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4DA035">
      <w:pPr>
        <w:pStyle w:val="31"/>
      </w:pPr>
      <w:r>
        <w:t>里耶秦简祭祀先农与灾情简</w:t>
      </w:r>
    </w:p>
    <w:p w14:paraId="32A57FFC">
      <w:pPr>
        <w:pStyle w:val="3"/>
      </w:pPr>
      <w:r>
        <w:t>来源出处</w:t>
      </w:r>
    </w:p>
    <w:p w14:paraId="07B8CE94">
      <w:r>
        <w:t>里耶古城一号井（部分为护城壕K11/K12）出土，里耶秦简博物馆藏；湖南省文物考古研究所编《里耶秦简（壹）（贰）（叁）》，文物出版社。据博物馆展陈照/正式图版。</w:t>
      </w:r>
    </w:p>
    <w:p w14:paraId="4DDBEBE0">
      <w:pPr>
        <w:pStyle w:val="3"/>
      </w:pPr>
      <w:r>
        <w:t>图片</w:t>
      </w:r>
    </w:p>
    <w:p w14:paraId="6DD979E0">
      <w:pPr>
        <w:jc w:val="center"/>
      </w:pPr>
      <w:r>
        <w:drawing>
          <wp:inline distT="0" distB="0" distL="114300" distR="114300">
            <wp:extent cx="3599815" cy="2398395"/>
            <wp:effectExtent l="0" t="0" r="698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E19C3">
      <w:pPr>
        <w:pStyle w:val="15"/>
        <w:jc w:val="center"/>
      </w:pPr>
      <w:r>
        <w:t>图1  里耶秦简祭祀先农与灾情简。出处：里耶秦简博物馆藏；据展陈照/图版。</w:t>
      </w:r>
    </w:p>
    <w:p w14:paraId="42C1585C">
      <w:pPr>
        <w:pStyle w:val="3"/>
      </w:pPr>
      <w:r>
        <w:t>释文</w:t>
      </w:r>
    </w:p>
    <w:p w14:paraId="5931D437">
      <w:r>
        <w:t>14-685记祭祀先农祠，8-1527记垦田租税，8-646记水灾伤亡课；并列县政要事。</w:t>
      </w:r>
    </w:p>
    <w:p w14:paraId="2CD0C35B">
      <w:pPr>
        <w:pStyle w:val="3"/>
      </w:pPr>
      <w:r>
        <w:t>文字</w:t>
      </w:r>
    </w:p>
    <w:p w14:paraId="1290310B">
      <w:r>
        <w:t>该简为秦代迁陵县行政档案，字体属秦隶；同字多写可观察字形稳定度与书手笔意。</w:t>
      </w:r>
    </w:p>
    <w:p w14:paraId="1FDEC154">
      <w:pPr>
        <w:pStyle w:val="3"/>
      </w:pPr>
      <w:r>
        <w:t>书法</w:t>
      </w:r>
    </w:p>
    <w:p w14:paraId="3D1376E8">
      <w:r>
        <w:t>章法：公文直行书写，字距行距匀整；纪日、发文、正文连贯，层次分明。</w:t>
      </w:r>
    </w:p>
    <w:p w14:paraId="5A6D92EB">
      <w:r>
        <w:t>笔法：墨色饱满，运笔整饬；横平竖直，转折多方折。</w:t>
      </w:r>
    </w:p>
    <w:p w14:paraId="44EE9D56">
      <w:r>
        <w:t>结体：字形方整，行列有序；是地方行政文书的标准体态。</w:t>
      </w:r>
    </w:p>
    <w:p w14:paraId="236FEA8A">
      <w:r>
        <w:t>篆隶关系：规范秦隶，横扁化、方折多；保留少量篆意而隶意成熟。</w:t>
      </w:r>
    </w:p>
    <w:p w14:paraId="096AB97E">
      <w:r>
        <w:t>典型单字写法（参看图2、图3）：</w:t>
      </w:r>
    </w:p>
    <w:p w14:paraId="558FB3E0">
      <w:pPr>
        <w:jc w:val="center"/>
      </w:pPr>
      <w:r>
        <w:drawing>
          <wp:inline distT="0" distB="0" distL="114300" distR="114300">
            <wp:extent cx="2699385" cy="1795145"/>
            <wp:effectExtent l="0" t="0" r="571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7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32D50">
      <w:pPr>
        <w:pStyle w:val="15"/>
        <w:jc w:val="center"/>
      </w:pPr>
      <w:r>
        <w:t>图2  整简局部放大，可见行款笔意。</w:t>
      </w:r>
    </w:p>
    <w:p w14:paraId="2504CDAE">
      <w:r>
        <w:t>“祭”：示旁紧凑。</w:t>
      </w:r>
    </w:p>
    <w:p w14:paraId="3B41510B">
      <w:r>
        <w:t>“农”：曲辰部方整。</w:t>
      </w:r>
    </w:p>
    <w:p w14:paraId="2BAE1061">
      <w:r>
        <w:t>“灾”：宀下火部。</w:t>
      </w:r>
    </w:p>
    <w:p w14:paraId="69EF8C1D">
      <w:pPr>
        <w:pStyle w:val="3"/>
      </w:pPr>
      <w:bookmarkStart w:id="0" w:name="_GoBack"/>
      <w:bookmarkEnd w:id="0"/>
      <w:r>
        <w:t>简牍形制</w:t>
      </w:r>
    </w:p>
    <w:p w14:paraId="16AECC3B">
      <w:r>
        <w:t>木质简牍，墨书；为秦代洞庭郡迁陵县官署档案，原出于一号井废弃堆积。</w:t>
      </w:r>
    </w:p>
    <w:p w14:paraId="1288E48B">
      <w:pPr>
        <w:pStyle w:val="3"/>
      </w:pPr>
      <w:r>
        <w:t>书写方式</w:t>
      </w:r>
    </w:p>
    <w:p w14:paraId="0EF6CF46">
      <w:r>
        <w:t>毛笔墨书，直行自上而下；按文书类型分栏或分行，便于检索。</w:t>
      </w:r>
    </w:p>
    <w:p w14:paraId="432A770D">
      <w:pPr>
        <w:pStyle w:val="3"/>
      </w:pPr>
      <w:r>
        <w:t>美育价值</w:t>
      </w:r>
    </w:p>
    <w:p w14:paraId="47DF25EC">
      <w:r>
        <w:t>可观察秦代基层行政文书的实用书风：为办事而写，不为观赏而书；讨论实用书写如何形成秦隶的典型面貌。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8973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511</Words>
  <Characters>531</Characters>
  <Lines>0</Lines>
  <Paragraphs>0</Paragraphs>
  <TotalTime>0</TotalTime>
  <ScaleCrop>false</ScaleCrop>
  <LinksUpToDate>false</LinksUpToDate>
  <CharactersWithSpaces>537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李振宁</cp:lastModifiedBy>
  <dcterms:modified xsi:type="dcterms:W3CDTF">2026-10-13T09:35:03Z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eyJoZGlkIjoiNmFiODQ1YzQ2ZDRkZWJhMTZhNWQzYjQ5MjYwYzU3NWMiLCJ1c2VySWQiOiIxODU1NDM4MDMzIn0=</vt:lpwstr>
  </property>
  <property fmtid="{D5CDD505-2E9C-101B-9397-08002B2CF9AE}" pid="3" name="KSOProductBuildVer">
    <vt:lpwstr>2052-12.1.0.28043</vt:lpwstr>
  </property>
  <property fmtid="{D5CDD505-2E9C-101B-9397-08002B2CF9AE}" pid="4" name="ICV">
    <vt:lpwstr>56B1ADCF55A9494A8834F5A6896D009D_12</vt:lpwstr>
  </property>
</Properties>
</file>