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秦历日（2012-25特种邮票·2-2）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439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ri_stam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3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图注：中国邮政2012年《里耶秦简》特种邮票；里耶秦简博物馆藏</w:t>
      </w:r>
    </w:p>
    <w:p>
      <w:r>
        <w:t>章法：历日简按干支次序排列，行列整齐；年月日与干支分层书写，便于查日历法使用。</w:t>
      </w:r>
    </w:p>
    <w:p>
      <w:r>
        <w:t>笔法：笔画匀称，起收平稳；横画略带上仰，竖画挺拔；转折方圆兼备，书风端庄。</w:t>
      </w:r>
    </w:p>
    <w:p>
      <w:r>
        <w:t>结体：字形方整，重心偏低；干支字写法规范，是秦代官方书手的标准写法。</w:t>
      </w:r>
    </w:p>
    <w:p>
      <w:r>
        <w:t>篆隶关系：篆隶并存：干支字多存篆构，而笔道已是隶化写法，是“秦篆带隶”的典型。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396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6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39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403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6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40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