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仓储钱粮简·木牍阵列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47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glin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7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图注：里耶古城（秦简）博物馆展陈；千图网图版</w:t>
      </w:r>
    </w:p>
    <w:p>
      <w:r>
        <w:t>章法：仓储简多木牍，宽幅分条记录；数字大而醒目，文字小而紧凑，便于盘点核对。</w:t>
      </w:r>
    </w:p>
    <w:p>
      <w:r>
        <w:t>笔法：墨色浓黑，笔画厚重；数字笔画简省方折，文字行笔较快；提按对比明显。</w:t>
      </w:r>
    </w:p>
    <w:p>
      <w:r>
        <w:t>结体：字形大小错落：数字大而方折，文字小而紧凑；同简内字形大小随功能变化。</w:t>
      </w:r>
    </w:p>
    <w:p>
      <w:r>
        <w:t>篆隶关系：隶化为主体，草化见于快写处；篆书成分仅存于结构端庄的字中。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417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8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1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42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8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2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