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8B69">
      <w:pPr>
        <w:pStyle w:val="31"/>
      </w:pPr>
      <w:r>
        <w:t>里耶秦简残简（正反）</w:t>
      </w:r>
    </w:p>
    <w:p w14:paraId="6159E34B">
      <w:pPr>
        <w:pStyle w:val="3"/>
      </w:pPr>
      <w:r>
        <w:t>来源出处</w:t>
      </w:r>
    </w:p>
    <w:p w14:paraId="74CADF44"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 w14:paraId="14C36484">
      <w:pPr>
        <w:pStyle w:val="3"/>
      </w:pPr>
      <w:r>
        <w:t>图片</w:t>
      </w:r>
    </w:p>
    <w:p w14:paraId="5AFAA39E">
      <w:pPr>
        <w:jc w:val="center"/>
      </w:pPr>
      <w:r>
        <w:drawing>
          <wp:inline distT="0" distB="0" distL="114300" distR="114300">
            <wp:extent cx="3599815" cy="359981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9DA4">
      <w:pPr>
        <w:pStyle w:val="15"/>
        <w:jc w:val="center"/>
      </w:pPr>
      <w:r>
        <w:t>图1  里耶秦简残简（正反）。出处：里耶秦简博物馆藏；据展陈照/图版。</w:t>
      </w:r>
    </w:p>
    <w:p w14:paraId="2CA3B1F3">
      <w:pPr>
        <w:pStyle w:val="3"/>
      </w:pPr>
      <w:r>
        <w:t>释文</w:t>
      </w:r>
    </w:p>
    <w:p w14:paraId="792C757F">
      <w:r>
        <w:t>残简正面多行墨字，背面留痕；原简断裂，残存文字为县政公文片段。</w:t>
      </w:r>
    </w:p>
    <w:p w14:paraId="1F2E454E">
      <w:pPr>
        <w:pStyle w:val="3"/>
      </w:pPr>
      <w:r>
        <w:t>文字</w:t>
      </w:r>
    </w:p>
    <w:p w14:paraId="35D410FE">
      <w:r>
        <w:t>该简为秦代迁陵县行政档案，字体属秦隶；同字多写可观察字形稳定度与书手笔意。</w:t>
      </w:r>
    </w:p>
    <w:p w14:paraId="4440ACF4">
      <w:pPr>
        <w:pStyle w:val="3"/>
      </w:pPr>
      <w:r>
        <w:t>书法</w:t>
      </w:r>
    </w:p>
    <w:p w14:paraId="20ACDC2E">
      <w:r>
        <w:t>章法：公文直行书写，字距行距匀整；纪日、发文、正文连贯，层次分明。</w:t>
      </w:r>
    </w:p>
    <w:p w14:paraId="2DA00F9F">
      <w:r>
        <w:t>笔法：墨色饱满，运笔整饬；横平竖直，转折多方折。</w:t>
      </w:r>
    </w:p>
    <w:p w14:paraId="514F8BD8">
      <w:r>
        <w:t>结体：字形方整，行列有序；是地方行政文书的标准体态。</w:t>
      </w:r>
    </w:p>
    <w:p w14:paraId="3884B912">
      <w:r>
        <w:t>篆隶关系：规范秦隶，横扁化、方折多；保留少量篆意而隶意成熟。</w:t>
      </w:r>
    </w:p>
    <w:p w14:paraId="720ABF28">
      <w:r>
        <w:t>典型单字写法（参看图2、图3）：</w:t>
      </w:r>
    </w:p>
    <w:p w14:paraId="209EC538">
      <w:pPr>
        <w:jc w:val="center"/>
      </w:pPr>
      <w:r>
        <w:drawing>
          <wp:inline distT="0" distB="0" distL="114300" distR="114300">
            <wp:extent cx="2699385" cy="2699385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88F7">
      <w:pPr>
        <w:pStyle w:val="15"/>
        <w:jc w:val="center"/>
      </w:pPr>
      <w:r>
        <w:t>图2  整简局部放大，可见行款笔意。</w:t>
      </w:r>
    </w:p>
    <w:p w14:paraId="0E2D4E25">
      <w:r>
        <w:t>“殘”：歹旁。</w:t>
      </w:r>
    </w:p>
    <w:p w14:paraId="377C5950">
      <w:r>
        <w:t>“正”：横竖横。</w:t>
      </w:r>
    </w:p>
    <w:p w14:paraId="75048D70">
      <w:r>
        <w:t>“反”：又部捺画。</w:t>
      </w:r>
    </w:p>
    <w:p w14:paraId="5B484256">
      <w:pPr>
        <w:pStyle w:val="3"/>
      </w:pPr>
      <w:bookmarkStart w:id="0" w:name="_GoBack"/>
      <w:bookmarkEnd w:id="0"/>
      <w:r>
        <w:t>简牍形制</w:t>
      </w:r>
    </w:p>
    <w:p w14:paraId="04217B17">
      <w:r>
        <w:t>木质简牍，墨书；为秦代洞庭郡迁陵县官署档案，原出于一号井废弃堆积。</w:t>
      </w:r>
    </w:p>
    <w:p w14:paraId="33553DE0">
      <w:pPr>
        <w:pStyle w:val="3"/>
      </w:pPr>
      <w:r>
        <w:t>书写方式</w:t>
      </w:r>
    </w:p>
    <w:p w14:paraId="4E87B4E6">
      <w:r>
        <w:t>毛笔墨书，直行自上而下；按文书类型分栏或分行，便于检索。</w:t>
      </w:r>
    </w:p>
    <w:p w14:paraId="382C2D8E">
      <w:pPr>
        <w:pStyle w:val="3"/>
      </w:pPr>
      <w:r>
        <w:t>美育价值</w:t>
      </w:r>
    </w:p>
    <w:p w14:paraId="39C80659">
      <w:r>
        <w:t>可观察秦代基层行政文书的实用书风：为办事而写，不为观赏而书；讨论实用书写如何形成秦隶的典型面貌。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82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383</Words>
  <Characters>389</Characters>
  <Lines>0</Lines>
  <Paragraphs>0</Paragraphs>
  <TotalTime>0</TotalTime>
  <ScaleCrop>false</ScaleCrop>
  <LinksUpToDate>false</LinksUpToDate>
  <CharactersWithSpaces>395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1A77BE9A9A8A426DA4ECB595440F1911_12</vt:lpwstr>
  </property>
</Properties>
</file>