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1F4483">
      <w:pPr>
        <w:pStyle w:val="31"/>
      </w:pPr>
      <w:r>
        <w:t>里耶秦简博物馆展柜简群</w:t>
      </w:r>
    </w:p>
    <w:p w14:paraId="172643D4">
      <w:pPr>
        <w:pStyle w:val="3"/>
      </w:pPr>
      <w:r>
        <w:t>来源出处</w:t>
      </w:r>
    </w:p>
    <w:p w14:paraId="1F467FB9">
      <w:r>
        <w:t>里耶古城一号井（部分为护城壕K11/K12）出土，里耶秦简博物馆藏；湖南省文物考古研究所编《里耶秦简（壹）（贰）（叁）》，文物出版社。据博物馆展陈照/正式图版。</w:t>
      </w:r>
    </w:p>
    <w:p w14:paraId="56B84421">
      <w:pPr>
        <w:pStyle w:val="3"/>
      </w:pPr>
      <w:r>
        <w:t>图片</w:t>
      </w:r>
    </w:p>
    <w:p w14:paraId="2FE98E53">
      <w:pPr>
        <w:jc w:val="center"/>
      </w:pPr>
      <w:r>
        <w:drawing>
          <wp:inline distT="0" distB="0" distL="114300" distR="114300">
            <wp:extent cx="3599815" cy="2699385"/>
            <wp:effectExtent l="0" t="0" r="698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C6FB9">
      <w:pPr>
        <w:pStyle w:val="15"/>
        <w:jc w:val="center"/>
      </w:pPr>
      <w:r>
        <w:t>图1  里耶秦简博物馆展柜简群。出处：里耶秦简博物馆藏；据展陈照/图版。</w:t>
      </w:r>
    </w:p>
    <w:p w14:paraId="5DB74BE7">
      <w:pPr>
        <w:pStyle w:val="3"/>
      </w:pPr>
      <w:r>
        <w:t>释文</w:t>
      </w:r>
    </w:p>
    <w:p w14:paraId="6B986CFB">
      <w:r>
        <w:t>展柜并列七枚：K12/25户籍、8-134、9-7、9-3、8-454等，含司空守简与迁陵邮路简。</w:t>
      </w:r>
    </w:p>
    <w:p w14:paraId="375F788D">
      <w:pPr>
        <w:pStyle w:val="3"/>
      </w:pPr>
      <w:r>
        <w:t>文字</w:t>
      </w:r>
    </w:p>
    <w:p w14:paraId="3C21D390">
      <w:r>
        <w:t>该简为秦代迁陵县行政档案，字体属秦隶；同字多写可观察字形稳定度与书手笔意。</w:t>
      </w:r>
    </w:p>
    <w:p w14:paraId="00986C4E">
      <w:pPr>
        <w:pStyle w:val="3"/>
      </w:pPr>
      <w:r>
        <w:t>书法</w:t>
      </w:r>
    </w:p>
    <w:p w14:paraId="0C015AC7">
      <w:r>
        <w:t>章法：多枚简并列，字体有工整有率意；整体见秦代县政文书的多样面貌。</w:t>
      </w:r>
    </w:p>
    <w:p w14:paraId="498EE030">
      <w:r>
        <w:t>笔法：墨色沉厚，运笔因简而异；工整者横平竖直，率意者连带增多。</w:t>
      </w:r>
    </w:p>
    <w:p w14:paraId="35D6D137">
      <w:r>
        <w:t>结体：字形以方扁为主，间见修长；反映不同书手与文书类型。</w:t>
      </w:r>
    </w:p>
    <w:p w14:paraId="48908724">
      <w:r>
        <w:t>篆隶关系：多为秦隶，篆隶过渡；工整者近规范，率意者见草率端倪。</w:t>
      </w:r>
    </w:p>
    <w:p w14:paraId="25F0D316">
      <w:r>
        <w:t>典型单字写法（参看图2、图3）：</w:t>
      </w:r>
    </w:p>
    <w:p w14:paraId="4D9B9D31">
      <w:pPr>
        <w:jc w:val="center"/>
      </w:pPr>
      <w:r>
        <w:drawing>
          <wp:inline distT="0" distB="0" distL="114300" distR="114300">
            <wp:extent cx="2699385" cy="2024380"/>
            <wp:effectExtent l="0" t="0" r="571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0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317FB">
      <w:pPr>
        <w:pStyle w:val="15"/>
        <w:jc w:val="center"/>
      </w:pPr>
      <w:r>
        <w:t>图2  整简局部放大，可见行款笔意。</w:t>
      </w:r>
    </w:p>
    <w:p w14:paraId="5D5B7F7D">
      <w:r>
        <w:t>“遷”：走之旁。</w:t>
      </w:r>
    </w:p>
    <w:p w14:paraId="62A3B8F4">
      <w:r>
        <w:t>“郵”：邑旁。</w:t>
      </w:r>
    </w:p>
    <w:p w14:paraId="7D22BC89">
      <w:r>
        <w:t>“洞庭”：水旁与同部。</w:t>
      </w:r>
    </w:p>
    <w:p w14:paraId="435299E5">
      <w:pPr>
        <w:pStyle w:val="3"/>
      </w:pPr>
      <w:bookmarkStart w:id="0" w:name="_GoBack"/>
      <w:bookmarkEnd w:id="0"/>
      <w:r>
        <w:t>简牍形制</w:t>
      </w:r>
    </w:p>
    <w:p w14:paraId="00F3CC24">
      <w:r>
        <w:t>木质简牍，墨书；为秦代洞庭郡迁陵县官署档案，原出于一号井废弃堆积。</w:t>
      </w:r>
    </w:p>
    <w:p w14:paraId="6CDB4C22">
      <w:pPr>
        <w:pStyle w:val="3"/>
      </w:pPr>
      <w:r>
        <w:t>书写方式</w:t>
      </w:r>
    </w:p>
    <w:p w14:paraId="5A6991CB">
      <w:r>
        <w:t>毛笔墨书，直行自上而下；按文书类型分栏或分行，便于检索。</w:t>
      </w:r>
    </w:p>
    <w:p w14:paraId="2991F063">
      <w:pPr>
        <w:pStyle w:val="3"/>
      </w:pPr>
      <w:r>
        <w:t>美育价值</w:t>
      </w:r>
    </w:p>
    <w:p w14:paraId="669C9AC8">
      <w:r>
        <w:t>可观察秦代基层行政文书的实用书风：为办事而写，不为观赏而书；讨论实用书写如何形成秦隶的典型面貌。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FFD4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519</Words>
  <Characters>542</Characters>
  <Lines>0</Lines>
  <Paragraphs>0</Paragraphs>
  <TotalTime>0</TotalTime>
  <ScaleCrop>false</ScaleCrop>
  <LinksUpToDate>false</LinksUpToDate>
  <CharactersWithSpaces>548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李振宁</cp:lastModifiedBy>
  <dcterms:modified xsi:type="dcterms:W3CDTF">2026-10-13T09:34:32Z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eyJoZGlkIjoiNmFiODQ1YzQ2ZDRkZWJhMTZhNWQzYjQ5MjYwYzU3NWMiLCJ1c2VySWQiOiIxODU1NDM4MDMzIn0=</vt:lpwstr>
  </property>
  <property fmtid="{D5CDD505-2E9C-101B-9397-08002B2CF9AE}" pid="3" name="KSOProductBuildVer">
    <vt:lpwstr>2052-12.1.0.28043</vt:lpwstr>
  </property>
  <property fmtid="{D5CDD505-2E9C-101B-9397-08002B2CF9AE}" pid="4" name="ICV">
    <vt:lpwstr>9C01908AE99C4646BD3DBD13793316CD_12</vt:lpwstr>
  </property>
</Properties>
</file>