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里耶秦简（CCTV纪录展陈）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145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tv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里耶秦简（CCTV纪录展陈）。出处：里耶秦简博物馆藏；据展陈照/图版。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五枚简黑底并列，含迁陵以邮行洞庭检与公文简；墨色沉厚。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章法：多枚简并列，字体有工整有率意；整体见秦代县政文书的多样面貌。</w:t>
      </w:r>
    </w:p>
    <w:p>
      <w:pPr/>
      <w:r>
        <w:t>笔法：墨色沉厚，运笔因简而异；工整者横平竖直，率意者连带增多。</w:t>
      </w:r>
    </w:p>
    <w:p>
      <w:pPr/>
      <w:r>
        <w:t>结体：字形以方扁为主，间见修长；反映不同书手与文书类型。</w:t>
      </w:r>
    </w:p>
    <w:p>
      <w:pPr/>
      <w:r>
        <w:t>篆隶关系：多为秦隶，篆隶过渡；工整者近规范，率意者见草率端倪。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08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tv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8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“行”：彳旁。</w:t>
      </w:r>
    </w:p>
    <w:p>
      <w:pPr/>
      <w:r>
        <w:t>“邮”：邑旁。</w:t>
      </w:r>
    </w:p>
    <w:p>
      <w:pPr/>
      <w:r>
        <w:t>“洞庭”：水旁。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608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tv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08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