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记载垦田的里耶秦简七枚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ntian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图注：2002年龙山里耶古城一号井出土；视觉中国图版</w:t>
      </w:r>
    </w:p>
    <w:p>
      <w:r>
        <w:t>章法：垦田简逐乡记录田亩，行列整齐；数字与田亩面积混排，便于统计赋税。</w:t>
      </w:r>
    </w:p>
    <w:p>
      <w:r>
        <w:t>笔法：笔画工整，起收平稳；数字简省方折，文字行笔较快；是秦代基层官吏的日常书写。</w:t>
      </w:r>
    </w:p>
    <w:p>
      <w:r>
        <w:t>结体：字形方扁，偏旁比例匀称；数字写法高度简化，是实用书写的典型。</w:t>
      </w:r>
    </w:p>
    <w:p>
      <w:r>
        <w:t>篆隶关系：隶化为主体，草化见于快写处；规范字仍存篆构。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2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2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