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祭祀先农·土地开垦·灾情三简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39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si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章法：祭祀先农等公文简，行列分明；多枚并列陈列，可对比不同祭祀文书的书写格式。</w:t>
      </w:r>
    </w:p>
    <w:p>
      <w:r>
        <w:t>笔法：笔画端庄，起收笔交代清楚；横平竖直，转折方折；是秦代官方文书的规范写法。</w:t>
      </w:r>
    </w:p>
    <w:p>
      <w:r>
        <w:t>结体：字形方整，重心偏低；祭祀用语高频重复，写法稳定。</w:t>
      </w:r>
    </w:p>
    <w:p>
      <w:r>
        <w:t>篆隶关系：篆隶并存：规范字存篆构，笔道已隶化；整体处于秦隶阶段。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9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3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50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3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