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签牌·迁陵以邮行洞庭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6730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qi_qianpa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730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图注：中国国家博物馆《小城故事——里耶秦简文化展》；头条图版</w:t>
      </w:r>
    </w:p>
    <w:p>
      <w:r>
        <w:t>章法：签牌字大而疏，单列纵书；目的是在简册捆束处一眼可辨，故不求工整而求醒目。</w:t>
      </w:r>
    </w:p>
    <w:p>
      <w:r>
        <w:t>笔法：笔画厚重，起收笔有力；竖画长而挺拔，横画略短；转折方折，书写简洁。</w:t>
      </w:r>
    </w:p>
    <w:p>
      <w:r>
        <w:t>结体：字形长方，大小匀称；因字少而大，每一笔画都交代清楚。</w:t>
      </w:r>
    </w:p>
    <w:p>
      <w:r>
        <w:t>篆隶关系：篆意较浓，结构端庄；笔道已隶化，是“秦篆带隶”的签牌类典型。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4209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7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209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4209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7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209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