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J1⑤10：具箸至日（残简）</w:t>
      </w:r>
    </w:p>
    <w:p>
      <w:pPr>
        <w:pStyle w:val="Heading1"/>
      </w:pPr>
      <w:r>
        <w:t>来源出处</w:t>
      </w:r>
    </w:p>
    <w:p>
      <w:r>
        <w:t>里耶古城一号井第五层出土，原整理号 5-10。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8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8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5-10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以为</w:t>
      </w:r>
      <w:r>
        <w:drawing>
          <wp:inline xmlns:a="http://schemas.openxmlformats.org/drawingml/2006/main" xmlns:pic="http://schemas.openxmlformats.org/drawingml/2006/picture">
            <wp:extent cx="180000" cy="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0000" cy="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w:space="preserve">具箸至日□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〼5-10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drawing>
          <wp:inline xmlns:a="http://schemas.openxmlformats.org/drawingml/2006/main" xmlns:pic="http://schemas.openxmlformats.org/drawingml/2006/picture">
            <wp:extent cx="176842" cy="1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842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，疑读作“工”或“功”。</w:t>
      </w:r>
      <w:r>
        <w:t>箸</w:t>
      </w:r>
      <w:r>
        <w:t>，</w:t>
      </w:r>
      <w:r>
        <w:t>楚简中多用作“书”。如郭店竹书《六德》</w:t>
      </w:r>
      <w:r>
        <w:t>24</w:t>
      </w:r>
      <w:r>
        <w:t>号简“观诸诗箸”。</w:t>
      </w:r>
    </w:p>
    <w:p>
      <w:pPr>
        <w:pStyle w:val="Heading1"/>
      </w:pPr>
      <w:r>
        <w:t>书法</w:t>
      </w:r>
    </w:p>
    <w:p>
      <w:r>
        <w:t>残简一行，可辨五六个字；笔画清楚，字距均匀。（据图1）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行笔平稳，墨色均匀。（据图1）</w:t>
      </w:r>
    </w:p>
    <w:p>
      <w:pPr>
        <w:pStyle w:val="Heading1"/>
      </w:pPr>
      <w:r>
        <w:t>美育价值</w:t>
      </w:r>
    </w:p>
    <w:p>
      <w:r>
        <w:t>「箸」在楚简里常当「书」用，一个字的用法能把一批简串起来。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