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J1⑤11：残简（「告，它如前」）</w:t>
      </w:r>
    </w:p>
    <w:p>
      <w:pPr>
        <w:pStyle w:val="Heading1"/>
      </w:pPr>
      <w:r>
        <w:t>来源出处</w:t>
      </w:r>
    </w:p>
    <w:p>
      <w:r>
        <w:t>里耶古城一号井第五层出土，原整理号 5-11。</w:t>
      </w:r>
    </w:p>
    <w:p>
      <w:r>
        <w:t>释文、注释：《里耶秦简牍校释》第一卷，第 11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8614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61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5-11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告，它如前</w:t>
      </w:r>
      <w:r>
        <w:t>〼</w:t>
      </w:r>
      <w:r>
        <w:t>5-11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正面存四字，竖行直下，字距匀；笔画细而挺，横画平出。（据图1）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墨色中等，笔道清晰。（据图1）</w:t>
      </w:r>
    </w:p>
    <w:p>
      <w:pPr>
        <w:pStyle w:val="Heading1"/>
      </w:pPr>
      <w:r>
        <w:t>美育价值</w:t>
      </w:r>
    </w:p>
    <w:p>
      <w:r>
        <w:t>「它如前」是公文常用语，四个字就能认出文书的口气。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