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J1⑤14：残简（「县中」）</w:t>
      </w:r>
    </w:p>
    <w:p>
      <w:pPr>
        <w:pStyle w:val="Heading1"/>
      </w:pPr>
      <w:r>
        <w:t>来源出处</w:t>
      </w:r>
    </w:p>
    <w:p>
      <w:r>
        <w:t>里耶古城一号井第五层出土，原整理号 5-14。</w:t>
      </w:r>
    </w:p>
    <w:p>
      <w:r>
        <w:t>释文、注释：《里耶秦简牍校释》第一卷，第 11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3529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52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县中</w:t>
      </w:r>
      <w:r>
        <w:t>〼</w:t>
      </w:r>
      <w:r>
        <w:t>5-14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正面存「县中」二字，笔画细，横画平。（据图1）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墨色较淡。（据图1）</w:t>
      </w:r>
    </w:p>
    <w:p>
      <w:pPr>
        <w:pStyle w:val="Heading1"/>
      </w:pPr>
      <w:r>
        <w:t>美育价值</w:t>
      </w:r>
    </w:p>
    <w:p>
      <w:r>
        <w:t>「县中」两字把文书涉及的范围点了出来。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