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J1⑤17：残牍（彭城守丞）</w:t>
      </w:r>
    </w:p>
    <w:p>
      <w:pPr>
        <w:pStyle w:val="Heading1"/>
      </w:pPr>
      <w:r>
        <w:t>来源出处</w:t>
      </w:r>
    </w:p>
    <w:p>
      <w:r>
        <w:t>里耶古城一号井第五层出土，原整理号 5-17。</w:t>
      </w:r>
    </w:p>
    <w:p>
      <w:r>
        <w:t>释文、注释：《里耶秦简牍校释》第一卷，第 12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20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0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〼彭城守丞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>〼</w:t>
      </w:r>
      <w:r>
        <w:t>以得律令□</w:t>
      </w:r>
      <w:r>
        <w:t>〼</w:t>
      </w:r>
      <w:r>
        <w:t>Ⅱ</w:t>
      </w:r>
      <w:r>
        <w:t>5-17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彭城，县名，《汉书·地理志》属楚国，治所在今江苏徐州市。《史记·秦始皇本纪》：“始皇还，过彭城”，《正义》：“彭城，徐州所理县也。州东外城，古之彭国也。”</w:t>
      </w:r>
    </w:p>
    <w:p>
      <w:pPr>
        <w:pStyle w:val="Heading1"/>
      </w:pPr>
      <w:r>
        <w:t>书法</w:t>
      </w:r>
    </w:p>
    <w:p>
      <w:r>
        <w:t>正面存两栏：一栏「彭城守丞」，一栏「以得律令□」，栏末以Ⅰ、Ⅱ标序；字距匀，笔画粗。（据图1）</w:t>
      </w:r>
    </w:p>
    <w:p>
      <w:pPr>
        <w:pStyle w:val="Heading1"/>
      </w:pPr>
      <w:r>
        <w:t>简牍形制</w:t>
      </w:r>
    </w:p>
    <w:p>
      <w:r>
        <w:t>残牍，单面书写，字分两栏。（据图1）</w:t>
      </w:r>
    </w:p>
    <w:p>
      <w:pPr>
        <w:pStyle w:val="Heading1"/>
      </w:pPr>
      <w:r>
        <w:t>书写方式</w:t>
      </w:r>
    </w:p>
    <w:p>
      <w:r>
        <w:t>墨色浓，笔画起收清楚。（据图1）</w:t>
      </w:r>
    </w:p>
    <w:p>
      <w:pPr>
        <w:pStyle w:val="Heading1"/>
      </w:pPr>
      <w:r>
        <w:t>美育价值</w:t>
      </w:r>
    </w:p>
    <w:p>
      <w:r>
        <w:t>「彭城守丞」四字把文书从哪儿发出交代清楚了。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