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J1⑤18：人口统计（大奴大婢）</w:t>
      </w:r>
    </w:p>
    <w:p>
      <w:pPr>
        <w:pStyle w:val="Heading1"/>
      </w:pPr>
      <w:r>
        <w:t>来源出处</w:t>
      </w:r>
    </w:p>
    <w:p>
      <w:r>
        <w:t>里耶古城一号井第五层出土，原整理号 5-18。</w:t>
      </w:r>
    </w:p>
    <w:p>
      <w:r>
        <w:t>释文、注释：《里耶秦简牍校释》第一卷，第 12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76144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614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5-18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大奴一人。Ⅰ</w:t>
      </w:r>
    </w:p>
    <w:p>
      <w:r>
        <w:t>大婢三人。Ⅱ</w:t>
      </w:r>
    </w:p>
    <w:p>
      <w:r>
        <w:t>小奴一人。Ⅲ</w:t>
      </w:r>
    </w:p>
    <w:p>
      <w:r>
        <w:t w:space="preserve">小婢一人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。Ⅳ</w:t>
      </w:r>
    </w:p>
    <w:p>
      <w:r>
        <w:t>·凡口数六十五</w:t>
      </w:r>
      <w:r>
        <w:t>〼</w:t>
      </w:r>
      <w:r>
        <w:t>Ⅴ</w:t>
      </w:r>
      <w:r>
        <w:t>5-18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大奴、大婢，成年男女奴隶。小奴、小婢，未成年男女奴隶。有学者推测，汉代六岁及以下为未使男女，七岁至十四岁为使男、使女，十五岁及以上为大男、大女。其使男使女可以统称为小男小女。可参考。</w:t>
      </w:r>
    </w:p>
    <w:p>
      <w:pPr>
        <w:pStyle w:val="Heading1"/>
      </w:pPr>
      <w:r>
        <w:t>书法</w:t>
      </w:r>
    </w:p>
    <w:p>
      <w:r>
        <w:t>正面五栏直书，每栏一句，栏末以Ⅰ—Ⅴ标序；字小而匀，横画平直，栏距清楚。（据图1）</w:t>
      </w:r>
    </w:p>
    <w:p>
      <w:pPr>
        <w:pStyle w:val="Heading1"/>
      </w:pPr>
      <w:r>
        <w:t>简牍形制</w:t>
      </w:r>
    </w:p>
    <w:p>
      <w:r>
        <w:t>残牍，单面书写，字分五栏。（据图1）</w:t>
      </w:r>
    </w:p>
    <w:p>
      <w:pPr>
        <w:pStyle w:val="Heading1"/>
      </w:pPr>
      <w:r>
        <w:t>书写方式</w:t>
      </w:r>
    </w:p>
    <w:p>
      <w:r>
        <w:t>墨色中等，五栏笔迹一致。（据图1）</w:t>
      </w:r>
    </w:p>
    <w:p>
      <w:pPr>
        <w:pStyle w:val="Heading1"/>
      </w:pPr>
      <w:r>
        <w:t>美育价值</w:t>
      </w:r>
    </w:p>
    <w:p>
      <w:r>
        <w:t>「大奴一人。大婢三人。小奴一人。小婢一人。」四句话就是一份人口账。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