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J1⑤21：残片（笔迹不可辨）</w:t>
      </w:r>
    </w:p>
    <w:p>
      <w:pPr>
        <w:pStyle w:val="Heading1"/>
      </w:pPr>
      <w:r>
        <w:t>来源出处</w:t>
      </w:r>
    </w:p>
    <w:p>
      <w:r>
        <w:t>里耶古城一号井第五层出土，原整理号 5-21。</w:t>
      </w:r>
    </w:p>
    <w:p>
      <w:r>
        <w:t>释文、注释：《里耶秦简牍校释》第一卷，第 13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820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820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5-21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□□□</w:t>
      </w:r>
      <w:r>
        <w:t>〼</w:t>
      </w:r>
      <w:r>
        <w:t>5-21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残片，简面发黑，笔迹已不可辨。（据图1）</w:t>
      </w:r>
    </w:p>
    <w:p>
      <w:pPr>
        <w:pStyle w:val="Heading1"/>
      </w:pPr>
      <w:r>
        <w:t>简牍形制</w:t>
      </w:r>
    </w:p>
    <w:p>
      <w:r>
        <w:t>残片。（据图1）</w:t>
      </w:r>
    </w:p>
    <w:p>
      <w:pPr>
        <w:pStyle w:val="Heading1"/>
      </w:pPr>
      <w:r>
        <w:t>书写方式</w:t>
      </w:r>
    </w:p>
    <w:p>
      <w:r>
        <w:t>墨迹漫漶。（据图1）</w:t>
      </w:r>
    </w:p>
    <w:p>
      <w:pPr>
        <w:pStyle w:val="Heading1"/>
      </w:pPr>
      <w:r>
        <w:t>美育价值</w:t>
      </w:r>
    </w:p>
    <w:p>
      <w:r>
        <w:t>不是每一枚简都能读——残片也有残片的用处。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