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J1⑤24：残简（「陵畜」）</w:t>
      </w:r>
    </w:p>
    <w:p>
      <w:pPr>
        <w:pStyle w:val="Heading1"/>
      </w:pPr>
      <w:r>
        <w:t>来源出处</w:t>
      </w:r>
    </w:p>
    <w:p>
      <w:r>
        <w:t>里耶古城一号井第五层出土，原整理号 5-24。</w:t>
      </w:r>
    </w:p>
    <w:p>
      <w:r>
        <w:t>释文、注释：《里耶秦简牍校释》第一卷，第 14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763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2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76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5-24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〼陵畜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〼5-24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 图版由二片拼合，稍有错位，右部应下移，“陵”字右部与“阜”相接。“陵”下一字原未释，为“畜”字。</w:t>
      </w:r>
    </w:p>
    <w:p>
      <w:pPr>
        <w:pStyle w:val="Heading1"/>
      </w:pPr>
      <w:r>
        <w:t>书法</w:t>
      </w:r>
    </w:p>
    <w:p>
      <w:r>
        <w:t>残片，正面存「陵」「畜」二字，笔画粗。（据图1）</w:t>
      </w:r>
    </w:p>
    <w:p>
      <w:pPr>
        <w:pStyle w:val="Heading1"/>
      </w:pPr>
      <w:r>
        <w:t>简牍形制</w:t>
      </w:r>
    </w:p>
    <w:p>
      <w:r>
        <w:t w:space="preserve">图版由二片拼合，稍有错位，右部应下移。（《校释》注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</w:t>
      </w:r>
    </w:p>
    <w:p>
      <w:pPr>
        <w:pStyle w:val="Heading1"/>
      </w:pPr>
      <w:r>
        <w:t>书写方式</w:t>
      </w:r>
    </w:p>
    <w:p>
      <w:r>
        <w:t>墨色浓。（据图1）</w:t>
      </w:r>
    </w:p>
    <w:p>
      <w:pPr>
        <w:pStyle w:val="Heading1"/>
      </w:pPr>
      <w:r>
        <w:t>美育价值</w:t>
      </w:r>
    </w:p>
    <w:p>
      <w:r>
        <w:t>两片拼起来的简，看图时要注意接缝在哪。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