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J1⑤28：残简（无字可辨）</w:t>
      </w:r>
    </w:p>
    <w:p>
      <w:pPr>
        <w:pStyle w:val="Heading1"/>
      </w:pPr>
      <w:r>
        <w:t>来源出处</w:t>
      </w:r>
    </w:p>
    <w:p>
      <w:r>
        <w:t>里耶古城一号井第五层出土，原整理号 5-28。</w:t>
      </w:r>
    </w:p>
    <w:p>
      <w:r>
        <w:t>释文、注释：《里耶秦简牍校释》第一卷，第 15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9491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491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5-28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……</w:t>
      </w:r>
      <w:r>
        <w:t>〼</w:t>
      </w:r>
      <w:r>
        <w:t>5-28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简面发黑，字迹不可辨。（据图1）</w:t>
      </w:r>
    </w:p>
    <w:p>
      <w:pPr>
        <w:pStyle w:val="Heading1"/>
      </w:pPr>
      <w:r>
        <w:t>简牍形制</w:t>
      </w:r>
    </w:p>
    <w:p>
      <w:r>
        <w:t>残简。（据图1）</w:t>
      </w:r>
    </w:p>
    <w:p>
      <w:pPr>
        <w:pStyle w:val="Heading1"/>
      </w:pPr>
      <w:r>
        <w:t>书写方式</w:t>
      </w:r>
    </w:p>
    <w:p>
      <w:r>
        <w:t>墨迹漫漶。（据图1）</w:t>
      </w:r>
    </w:p>
    <w:p>
      <w:pPr>
        <w:pStyle w:val="Heading1"/>
      </w:pPr>
      <w:r>
        <w:t>美育价值</w:t>
      </w:r>
    </w:p>
    <w:p>
      <w:r>
        <w:t>连释文都只能写省略号——这是整理者的诚实。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