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J1⑥18：邮行文牍（金布—洞庭）</w:t>
      </w:r>
    </w:p>
    <w:p>
      <w:pPr>
        <w:pStyle w:val="Heading1"/>
      </w:pPr>
      <w:r>
        <w:t>来源出处</w:t>
      </w:r>
    </w:p>
    <w:p>
      <w:r>
        <w:t>里耶古城一号井第六层出土，原整理号 6-18。</w:t>
      </w:r>
    </w:p>
    <w:p>
      <w:r>
        <w:t>释文、注释：《里耶秦简牍校释》第一卷，第 23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3098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098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6-18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迁陵金布Ⅰ发洞庭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。Ⅱ6-18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金布，管理金钱、布帛等财物的机构。《汉书·萧望之传》颜注：“《金布》者，令篇名也。其上有府库金钱布帛之事，因以篇名。”里耶9-4号简记云：“谒报。报署金布发。”可参看。</w:t>
      </w:r>
    </w:p>
    <w:p>
      <w:pPr>
        <w:pStyle w:val="Heading1"/>
      </w:pPr>
      <w:r>
        <w:t>书法</w:t>
      </w:r>
    </w:p>
    <w:p>
      <w:r>
        <w:t>窄牍两栏直书：「迁陵金布」「发洞庭」，栏末以Ⅰ、Ⅱ标序；字小而匀。（据图1）</w:t>
      </w:r>
    </w:p>
    <w:p>
      <w:pPr>
        <w:pStyle w:val="Heading1"/>
      </w:pPr>
      <w:r>
        <w:t>简牍形制</w:t>
      </w:r>
    </w:p>
    <w:p>
      <w:r>
        <w:t>窄牍，单面书写，字分两栏。（据图1）</w:t>
      </w:r>
    </w:p>
    <w:p>
      <w:pPr>
        <w:pStyle w:val="Heading1"/>
      </w:pPr>
      <w:r>
        <w:t>书写方式</w:t>
      </w:r>
    </w:p>
    <w:p>
      <w:r>
        <w:t>墨色中等，两栏笔迹一致。（据图1）</w:t>
      </w:r>
    </w:p>
    <w:p>
      <w:pPr>
        <w:pStyle w:val="Heading1"/>
      </w:pPr>
      <w:r>
        <w:t>美育价值</w:t>
      </w:r>
    </w:p>
    <w:p>
      <w:r>
        <w:t>「金布」是管钱物的机构，「发」是拆封——这枚牍记的是谁拆了哪件文书。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