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J1⑥28：讯狱残牍（狱史）</w:t>
      </w:r>
    </w:p>
    <w:p>
      <w:pPr>
        <w:pStyle w:val="Heading1"/>
      </w:pPr>
      <w:r>
        <w:t>来源出处</w:t>
      </w:r>
    </w:p>
    <w:p>
      <w:r>
        <w:t>里耶古城一号井第六层出土，原整理号 6-28。</w:t>
      </w:r>
    </w:p>
    <w:p>
      <w:r>
        <w:t>释文、注释：《里耶秦简牍校释》第一卷，第 26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0545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2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545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6-28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〼年十月乙亥朔乙酉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，狱【史】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〼Ⅰ</w:t>
      </w:r>
    </w:p>
    <w:p>
      <w:r>
        <w:t>〼</w:t>
      </w:r>
      <w:r>
        <w:t>□其言恐走实不见</w:t>
      </w:r>
      <w:r>
        <w:t>〼</w:t>
      </w:r>
      <w:r>
        <w:t>Ⅱ</w:t>
      </w:r>
      <w:r>
        <w:t>6-</w:t>
      </w:r>
      <w:r>
        <w:t>28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乙酉，十月十一日。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狱史，治狱之官。《汉书·路温舒传》：“（路温舒）稍习善，求为狱小吏，因学律令，转为狱史，县中疑事皆问焉。”同书《丙吉传》：“（丙吉）治律令，为鲁狱史。”在张家山汉简《奏谳书》案例十六、案例十八中，狱史与县令、丞共同治狱。在案例二二中，咸阳同时有多个狱史。</w:t>
      </w:r>
    </w:p>
    <w:p>
      <w:pPr>
        <w:pStyle w:val="Heading1"/>
      </w:pPr>
      <w:r>
        <w:t>书法</w:t>
      </w:r>
    </w:p>
    <w:p>
      <w:r>
        <w:t>窄牍两栏，字小而密，字距紧。（据图1）</w:t>
      </w:r>
    </w:p>
    <w:p>
      <w:pPr>
        <w:pStyle w:val="Heading1"/>
      </w:pPr>
      <w:r>
        <w:t>简牍形制</w:t>
      </w:r>
    </w:p>
    <w:p>
      <w:r>
        <w:t>残牍，单面书写，字分两栏。（据释文）</w:t>
      </w:r>
    </w:p>
    <w:p>
      <w:pPr>
        <w:pStyle w:val="Heading1"/>
      </w:pPr>
      <w:r>
        <w:t>书写方式</w:t>
      </w:r>
    </w:p>
    <w:p>
      <w:r>
        <w:t>墨色偏淡。（据图1）</w:t>
      </w:r>
    </w:p>
    <w:p>
      <w:pPr>
        <w:pStyle w:val="Heading1"/>
      </w:pPr>
      <w:r>
        <w:t>美育价值</w:t>
      </w:r>
    </w:p>
    <w:p>
      <w:r>
        <w:t>「狱史」是治狱之官，「恐走实不见」是一句问案的话。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