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J1⑥3：残牍（受仓粮）</w:t>
      </w:r>
    </w:p>
    <w:p>
      <w:pPr>
        <w:pStyle w:val="Heading1"/>
      </w:pPr>
      <w:r>
        <w:t>来源出处</w:t>
      </w:r>
    </w:p>
    <w:p>
      <w:r>
        <w:t>里耶古城一号井第六层出土，原整理号 6-3。</w:t>
      </w:r>
    </w:p>
    <w:p>
      <w:r>
        <w:t>释文、注释：《里耶秦简牍校释》第一卷，第 18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6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6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□=七石。    元年端月癸卯朔□□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，司空□□受仓□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〼6-3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原注释：左侧齿左为“七石”。</w:t>
      </w:r>
    </w:p>
    <w:p>
      <w:r>
        <w:t>端月，正月。《史记·秦楚之际月表》：“（二世二年）端月。”司马贞索隐：“二世二年正月也。秦讳‘正’，故云端月也。”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司空，《湘西里耶秦代简牍选释》：官名，掌管工程，因当时工程多用刑徒，后逐渐成为主管刑徒的官名。《汉书·百官表》注引如淳云：“律，司空主水及罪人”。《汉书·陈咸传》注：“司空主作役官。贾谊：输之司空，编之徒官。”《二年律令》204简：“……隶臣妾、收人、司空三人以为庶人。”则指的是在司空服役的刑徒。李学勤先生认为：“司空是管理刑徒一类事务的官吏，也负责居赀赎债”。</w:t>
      </w:r>
    </w:p>
    <w:p>
      <w:pPr>
        <w:pStyle w:val="Heading1"/>
      </w:pPr>
      <w:r>
        <w:t>书法</w:t>
      </w:r>
    </w:p>
    <w:p>
      <w:r>
        <w:t>残牍，正面存数处笔画，字距松。（据图1）</w:t>
      </w:r>
    </w:p>
    <w:p>
      <w:pPr>
        <w:pStyle w:val="Heading1"/>
      </w:pPr>
      <w:r>
        <w:t>简牍形制</w:t>
      </w:r>
    </w:p>
    <w:p>
      <w:r>
        <w:t w:space="preserve">残牍，单面书写；左侧有刻齿，原注释「左为七石」。（《校释》注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简侧的刻齿记「七石」，简上的字记受仓——一件粮食出入的事，两处都留着。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