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J1⑥6：残牍（佐苇、客手）</w:t>
      </w:r>
    </w:p>
    <w:p>
      <w:pPr>
        <w:pStyle w:val="Heading1"/>
      </w:pPr>
      <w:r>
        <w:t>来源出处</w:t>
      </w:r>
    </w:p>
    <w:p>
      <w:r>
        <w:t>里耶古城一号井第六层出土，原整理号 6-6。</w:t>
      </w:r>
    </w:p>
    <w:p>
      <w:r>
        <w:t>释文、注释：《里耶秦简牍校释》第一卷，第 20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4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6-6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〼佐苇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Ⅰ</w:t>
      </w:r>
    </w:p>
    <w:p>
      <w:r>
        <w:t w:space="preserve">〼    客手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。Ⅱ6-6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苇，人名。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客，人名。</w:t>
      </w:r>
    </w:p>
    <w:p>
      <w:pPr>
        <w:pStyle w:val="Heading1"/>
      </w:pPr>
      <w:r>
        <w:t>书法</w:t>
      </w:r>
    </w:p>
    <w:p>
      <w:r>
        <w:t>牍上端涂黑；正面存两栏，一栏「佐苇」，一栏「客手」；字距大。（据图1）</w:t>
      </w:r>
    </w:p>
    <w:p>
      <w:pPr>
        <w:pStyle w:val="Heading1"/>
      </w:pPr>
      <w:r>
        <w:t>简牍形制</w:t>
      </w:r>
    </w:p>
    <w:p>
      <w:r>
        <w:t>残牍，单面书写，上端涂黑。（据图1）</w:t>
      </w:r>
    </w:p>
    <w:p>
      <w:pPr>
        <w:pStyle w:val="Heading1"/>
      </w:pPr>
      <w:r>
        <w:t>书写方式</w:t>
      </w:r>
    </w:p>
    <w:p>
      <w:r>
        <w:t>墨色浓，笔画粗。（据图1）</w:t>
      </w:r>
    </w:p>
    <w:p>
      <w:pPr>
        <w:pStyle w:val="Heading1"/>
      </w:pPr>
      <w:r>
        <w:t>美育价值</w:t>
      </w:r>
    </w:p>
    <w:p>
      <w:r>
        <w:t>「某手」是签署——两千年前的公文，末尾也要签名。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