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8-1444：道路里程记录简</w:t>
      </w:r>
    </w:p>
    <w:p>
      <w:pPr>
        <w:pStyle w:val="Heading1"/>
      </w:pPr>
      <w:r>
        <w:t>来源出处</w:t>
      </w:r>
    </w:p>
    <w:p>
      <w:pPr/>
      <w:r>
        <w:t>图版及释文见湖南省文物考古研究所编《里耶秦简（壹）》（文物出版社，2012）图版8-1444正，释文第70页。</w:t>
      </w:r>
    </w:p>
    <w:p>
      <w:pPr/>
      <w:r>
        <w:t>清华大学出土文献研究与保护中心论文《出土文献》第四辑引该图版，用于秦代道路与里程记录讨论。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484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里程表16-5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484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里耶秦简里程类木牍陈列实拍（展签编号16-52，非本简专属图版）。正式图版底本：《里耶秦简（壹）》，文物出版社2012。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研究论文引《里耶秦简（壹）》图版8-1444正及释文第70页，将其用于秦代道路与里程记录讨论。逐字释文以该书第70页为准，本卡不臆录简文。</w:t>
      </w:r>
    </w:p>
    <w:p>
      <w:pPr>
        <w:pStyle w:val="Heading1"/>
      </w:pPr>
      <w:r>
        <w:t>文字</w:t>
      </w:r>
    </w:p>
    <w:p>
      <w:pPr/>
      <w:r>
        <w:t>内容为道路里程、地名及距离记录。</w:t>
      </w:r>
    </w:p>
    <w:p>
      <w:pPr>
        <w:pStyle w:val="Heading1"/>
      </w:pPr>
      <w:r>
        <w:t>书法</w:t>
      </w:r>
    </w:p>
    <w:p>
      <w:pPr/>
      <w:r>
        <w:t>正式版面应从图版8-1444正观察地名、里程条目的行向与疏密；在线论文引用图版未给足高清笔迹细节，条目布局可议，提按、运笔速度与具体书风须据正式图版判断。</w:t>
      </w:r>
    </w:p>
    <w:p>
      <w:pPr>
        <w:pStyle w:val="Heading1"/>
      </w:pPr>
      <w:r>
        <w:t>简牍形制</w:t>
      </w:r>
    </w:p>
    <w:p>
      <w:pPr/>
      <w:r>
        <w:t>本件为一号井第八层出土简。论文明确引用《里耶秦简（壹）》图版8-1444正；背面、端部及编绳痕据该书原图核对，单件长宽厚以正式著录为准。</w:t>
      </w:r>
    </w:p>
    <w:p>
      <w:pPr>
        <w:pStyle w:val="Heading1"/>
      </w:pPr>
      <w:r>
        <w:t>书写方式</w:t>
      </w:r>
    </w:p>
    <w:p>
      <w:pPr/>
      <w:r>
        <w:t>以路线信息为核心，按原简行款记录地名与距离单位，不把论文整理后的连续句当作原始排版。</w:t>
      </w:r>
    </w:p>
    <w:p>
      <w:pPr>
        <w:pStyle w:val="Heading1"/>
      </w:pPr>
      <w:r>
        <w:t>美育价值</w:t>
      </w:r>
    </w:p>
    <w:p>
      <w:pPr/>
      <w:r>
        <w:t>以古代交通信息为切入点，把地名、空间与文字布局结合教学。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