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8-1564：追记文书简</w:t>
      </w:r>
    </w:p>
    <w:p>
      <w:pPr>
        <w:pStyle w:val="Heading1"/>
      </w:pPr>
      <w:r>
        <w:t>来源出处</w:t>
      </w:r>
    </w:p>
    <w:p>
      <w:pPr/>
      <w:r>
        <w:t>宫宅潔《关于里耶秦简8-755～759号与8-1564号的编联》一文讨论本简编联。</w:t>
      </w:r>
    </w:p>
    <w:p>
      <w:pPr>
        <w:pStyle w:val="Heading1"/>
      </w:pPr>
      <w:r>
        <w:t>图片</w:t>
      </w:r>
    </w:p>
    <w:p>
      <w:pPr>
        <w:keepNext/>
        <w:spacing w:before="120"/>
        <w:ind w:firstLine="0" w:firstLineChars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6830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ye_单简展框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830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360" w:line="240" w:lineRule="auto"/>
        <w:jc w:val="center"/>
      </w:pPr>
      <w:r>
        <w:t>图1 里耶秦简简牍陈列实拍（非本简专属图版）。正式图版底本：《里耶秦简（壹）》，文物出版社2012。</w:t>
      </w:r>
    </w:p>
    <w:p>
      <w:pPr>
        <w:pStyle w:val="Heading1"/>
      </w:pPr>
      <w:r>
        <w:t>释文</w:t>
      </w:r>
    </w:p>
    <w:p>
      <w:pPr/>
      <w:r>
        <w:t>宫宅潔论文将此简释文录作：“其谨案致，更上奏决。展簿留日。毋腾却。它如前书律令。”文字是对前文处理事项的后续指示，异体及补释按论文原文校注。</w:t>
      </w:r>
    </w:p>
    <w:p>
      <w:pPr>
        <w:pStyle w:val="Heading1"/>
      </w:pPr>
      <w:r>
        <w:t>文字</w:t>
      </w:r>
    </w:p>
    <w:p>
      <w:pPr/>
      <w:r>
        <w:t>文书追记涉及案验、上奏裁决、簿籍留存等行政事项。</w:t>
      </w:r>
    </w:p>
    <w:p>
      <w:pPr>
        <w:pStyle w:val="Heading1"/>
      </w:pPr>
      <w:r>
        <w:t>书法</w:t>
      </w:r>
    </w:p>
    <w:p>
      <w:pPr/>
      <w:r>
        <w:t>“其谨案致，更上奏决。展簿留日。毋腾却。”由多个短促指令组成。可观察词组间隔与句末停顿怎样占据简面；真实行距须据原简判断，不据横排释文推断。</w:t>
      </w:r>
    </w:p>
    <w:p>
      <w:pPr>
        <w:pStyle w:val="Heading1"/>
      </w:pPr>
      <w:r>
        <w:t>简牍形制</w:t>
      </w:r>
    </w:p>
    <w:p>
      <w:pPr/>
      <w:r>
        <w:t>第八层秦简。宫宅潔论文刊有相关图版与文字；形制以《里耶秦简（壹）》对应图版为准，尺寸按正式著录。</w:t>
      </w:r>
    </w:p>
    <w:p>
      <w:pPr>
        <w:pStyle w:val="Heading1"/>
      </w:pPr>
      <w:r>
        <w:t>书写方式</w:t>
      </w:r>
    </w:p>
    <w:p>
      <w:pPr/>
      <w:r>
        <w:t>本卡按出土编号著录，文书位置说明作为研究者的解释单独标明。</w:t>
      </w:r>
    </w:p>
    <w:p>
      <w:pPr>
        <w:pStyle w:val="Heading1"/>
      </w:pPr>
      <w:r>
        <w:t>美育价值</w:t>
      </w:r>
    </w:p>
    <w:p>
      <w:pPr/>
      <w:r>
        <w:t>展示考古编号并不等于古代阅读顺序。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