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8-453：医方简</w:t>
      </w:r>
    </w:p>
    <w:p>
      <w:pPr>
        <w:pStyle w:val="Heading1"/>
      </w:pPr>
      <w:r>
        <w:t>来源出处</w:t>
      </w:r>
    </w:p>
    <w:p>
      <w:pPr/>
      <w:r>
        <w:t>周波《里耶秦简（贰）医方校读》，刊于复旦大学出土文献与古文字研究中心。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83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单简展框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8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里耶秦简简牍展陈实拍（非本简专属图版）。正式图版底本：湖南省文物考古研究所编《里耶秦简（壹）》，文物出版社2012。</w:t>
      </w:r>
    </w:p>
    <w:p>
      <w:pPr>
        <w:pStyle w:val="Heading1"/>
      </w:pPr>
      <w:r>
        <w:t>释文</w:t>
      </w:r>
    </w:p>
    <w:p>
      <w:pPr/>
      <w:r>
        <w:t>周波《里耶秦简（贰）医方校读》以本简“销”字作字形对照。本卡据以摘录“销”这一校读焦点，相关研究中的其他医方文字不属本简内容。</w:t>
      </w:r>
    </w:p>
    <w:p>
      <w:pPr>
        <w:pStyle w:val="Heading1"/>
      </w:pPr>
      <w:r>
        <w:t>文字</w:t>
      </w:r>
    </w:p>
    <w:p>
      <w:pPr/>
      <w:r>
        <w:t>本简属医药方书，词汇涉及药物名与疑难字形。</w:t>
      </w:r>
    </w:p>
    <w:p>
      <w:pPr>
        <w:pStyle w:val="Heading1"/>
      </w:pPr>
      <w:r>
        <w:t>书法</w:t>
      </w:r>
    </w:p>
    <w:p>
      <w:pPr/>
      <w:r>
        <w:t>周波选取本简“销”字作文字校读比较。其构件写法、笔画连带与局部简省为可落实的书法观察点，具体笔画以高清图版为准。</w:t>
      </w:r>
    </w:p>
    <w:p>
      <w:pPr>
        <w:pStyle w:val="Heading1"/>
      </w:pPr>
      <w:r>
        <w:t>简牍形制</w:t>
      </w:r>
    </w:p>
    <w:p>
      <w:pPr/>
      <w:r>
        <w:t>第八层出土医方简。周波校读文章未列本简长宽厚、端部与编绳痕数据，形制以《里耶秦简（壹）》正式图版及简注著录为准。</w:t>
      </w:r>
    </w:p>
    <w:p>
      <w:pPr>
        <w:pStyle w:val="Heading1"/>
      </w:pPr>
      <w:r>
        <w:t>书写方式</w:t>
      </w:r>
    </w:p>
    <w:p>
      <w:pPr/>
      <w:r>
        <w:t>本简写录医方。药名、剂量与配伍关系以图版和研究释文为据，疑读随文注明，不以现代药名径自改写。</w:t>
      </w:r>
    </w:p>
    <w:p>
      <w:pPr>
        <w:pStyle w:val="Heading1"/>
      </w:pPr>
      <w:r>
        <w:t>美育价值</w:t>
      </w:r>
    </w:p>
    <w:p>
      <w:pPr/>
      <w:r>
        <w:t>本卡可将书法、古文字与秦代医学知识结合，用于介绍文字如何服务实用知识。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