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B61BE">
      <w:pPr>
        <w:pStyle w:val="31"/>
      </w:pPr>
      <w:r>
        <w:t>简号 8-455：秦更名木方</w:t>
      </w:r>
    </w:p>
    <w:p w14:paraId="5A2CE427">
      <w:pPr>
        <w:pStyle w:val="3"/>
      </w:pPr>
      <w:r>
        <w:t>来源出处</w:t>
      </w:r>
    </w:p>
    <w:p w14:paraId="20A1E45A">
      <w:r>
        <w:t>里耶一号井第八层出土，编号8-455，因内容讨论称谓与名物更改而被称作“秦更名方”。先行公布见张春龙、龙金沙《湘西里耶秦简8—455号》，《简帛》第四辑，2009；后有游逸飞《里耶秦简8-455号木方选释》，《简帛》第六辑，2011。整理本见湖南省文物考古研究所编《里耶秦简（壹）》彩版第14页、图版68—69、释文第32—33页。</w:t>
      </w:r>
    </w:p>
    <w:p w14:paraId="3813AE93">
      <w:pPr>
        <w:pStyle w:val="3"/>
      </w:pPr>
      <w:r>
        <w:t>图片</w:t>
      </w:r>
    </w:p>
    <w:p w14:paraId="4D4FDEC6">
      <w:pPr>
        <w:keepNext/>
        <w:spacing w:before="120"/>
        <w:ind w:firstLine="0" w:firstLineChars="0"/>
        <w:jc w:val="center"/>
      </w:pPr>
      <w:r>
        <w:drawing>
          <wp:inline distT="0" distB="0" distL="114300" distR="114300">
            <wp:extent cx="4319905" cy="7384415"/>
            <wp:effectExtent l="0" t="0" r="1079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38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E0F9">
      <w:pPr>
        <w:pStyle w:val="15"/>
        <w:spacing w:before="80" w:after="360" w:line="240" w:lineRule="auto"/>
        <w:jc w:val="center"/>
      </w:pPr>
      <w:r>
        <w:t>图1  秦更名木方（名物称谓条目）。出处：湖南省文物考古研究所编《里耶秦简（壹）》（文物出版社，2012）图版；据展陈照/正式图版照片。</w:t>
      </w:r>
    </w:p>
    <w:p w14:paraId="6E3E197D">
      <w:pPr>
        <w:pStyle w:val="3"/>
      </w:pPr>
      <w:r>
        <w:t>释文</w:t>
      </w:r>
    </w:p>
    <w:p w14:paraId="0EF618A6">
      <w:r>
        <w:t>本牍为多栏名物、称谓条目。游逸飞据《里耶秦简（壹）》提出新订释文，共十三列，内容涉及秦统一后的名号与制度用语。简文释字、断句尚有争议，全文以论文所附释文逐栏核对。</w:t>
      </w:r>
    </w:p>
    <w:p w14:paraId="7A0D840E">
      <w:pPr>
        <w:pStyle w:val="3"/>
      </w:pPr>
      <w:r>
        <w:t>文字</w:t>
      </w:r>
    </w:p>
    <w:p w14:paraId="50EA46B4">
      <w:r>
        <w:t>牍中“更”“曰”等句式反复出现，是作字形横向比对的材料；同一字多次书写，可观察字形稳定度与书写速度变化。</w:t>
      </w:r>
    </w:p>
    <w:p w14:paraId="220A8729">
      <w:r>
        <w:t>研究涉及秦统一后文字与名物称谓规范，字形本身与制度解释应分别记录。</w:t>
      </w:r>
    </w:p>
    <w:p w14:paraId="0184E1CC">
      <w:pPr>
        <w:pStyle w:val="3"/>
      </w:pPr>
      <w:r>
        <w:t>书法</w:t>
      </w:r>
    </w:p>
    <w:p w14:paraId="09A43532">
      <w:r>
        <w:t>章法：宽幅木方分多栏书写，十三列条目直行排列；同一“更”“曰”等句式反复出现，列间留白匀整，便于对照查阅。</w:t>
      </w:r>
    </w:p>
    <w:p w14:paraId="41613E7E">
      <w:r>
        <w:t>笔法：游逸飞形容为“谨朴篆书”；横画平正，竖画挺拔，转折圆转中带方折，起收藏头护尾。</w:t>
      </w:r>
    </w:p>
    <w:p w14:paraId="5CD4C5F1">
      <w:r>
        <w:t>结体：字形近篆而趋扁，结构端庄；同字多写而大体稳定，偶见手写简省。</w:t>
      </w:r>
    </w:p>
    <w:p w14:paraId="1AA8B936">
      <w:r>
        <w:t>篆隶关系：保留较多篆意，同时横扁化、方折初现，是秦统一后规范书体与日常书写的折中。</w:t>
      </w:r>
    </w:p>
    <w:p w14:paraId="67A73CCB">
      <w:r>
        <w:t>典型单字写法（参看图2、图3）：</w:t>
      </w:r>
    </w:p>
    <w:p w14:paraId="6F0E42A3">
      <w:pPr>
        <w:jc w:val="center"/>
      </w:pPr>
      <w:r>
        <w:drawing>
          <wp:inline distT="0" distB="0" distL="114300" distR="114300">
            <wp:extent cx="2699385" cy="2268855"/>
            <wp:effectExtent l="0" t="0" r="571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26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0BFB">
      <w:pPr>
        <w:pStyle w:val="15"/>
        <w:jc w:val="center"/>
      </w:pPr>
      <w:r>
        <w:t>图2 木方分栏条目局部放大。</w:t>
      </w:r>
    </w:p>
    <w:p w14:paraId="72137EC2">
      <w:r>
        <w:t>“更”：上“丙”下“攴”，结构端庄。</w:t>
      </w:r>
    </w:p>
    <w:p w14:paraId="50AFB0CD">
      <w:r>
        <w:t>“曰”：横画平行，外框方整。</w:t>
      </w:r>
    </w:p>
    <w:p w14:paraId="0A40332D">
      <w:r>
        <w:t>“帝”：上部横画平行，下部“巾”竖画挺直。</w:t>
      </w:r>
    </w:p>
    <w:p w14:paraId="3BBD6EC3">
      <w:pPr>
        <w:jc w:val="center"/>
      </w:pPr>
      <w:r>
        <w:drawing>
          <wp:inline distT="0" distB="0" distL="114300" distR="114300">
            <wp:extent cx="2699385" cy="2185035"/>
            <wp:effectExtent l="0" t="0" r="571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18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4B8E">
      <w:pPr>
        <w:pStyle w:val="15"/>
        <w:jc w:val="center"/>
      </w:pPr>
      <w:r>
        <w:t>图3 反复出现的“更”“曰”句式局部放大。</w:t>
      </w:r>
    </w:p>
    <w:p w14:paraId="31940EE7">
      <w:pPr>
        <w:pStyle w:val="3"/>
      </w:pPr>
      <w:r>
        <w:t>简牍形制</w:t>
      </w:r>
    </w:p>
    <w:p w14:paraId="225AA77F">
      <w:r>
        <w:t>宽幅木方，正面分多列书写，游逸飞据图版将内容分作十三列。论文未列单件长宽厚数值，不填估算。</w:t>
      </w:r>
    </w:p>
    <w:p w14:paraId="520832DB">
      <w:pPr>
        <w:pStyle w:val="3"/>
      </w:pPr>
      <w:r>
        <w:t>书写方式</w:t>
      </w:r>
    </w:p>
    <w:p w14:paraId="61DF474C">
      <w:r>
        <w:t>条目式抄录，分栏呈列，便于对照查阅。其为官府正式颁布件或私人练习件，需据文书性质研究判定，不凭整齐程度下结论。</w:t>
      </w:r>
    </w:p>
    <w:p w14:paraId="1D7E4744">
      <w:pPr>
        <w:pStyle w:val="3"/>
      </w:pPr>
      <w:r>
        <w:t>美育价值</w:t>
      </w:r>
    </w:p>
    <w:p w14:paraId="214B4CC7">
      <w:r>
        <w:t>可作为“版面设计与书法”结合的案例，观察宽木牍如何组织多个短句。</w:t>
      </w:r>
    </w:p>
    <w:p w14:paraId="44A72C13">
      <w:bookmarkStart w:id="0" w:name="_GoBack"/>
      <w:bookmarkEnd w:id="0"/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C4D9C">
    <w:pPr>
      <w:pStyle w:val="24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</w:r>
    <w:r>
      <w:rPr>
        <w:rFonts w:ascii="Times New Roman" w:hAnsi="Times New Roman" w:eastAsia="宋体"/>
        <w:color w:val="000000"/>
        <w:sz w:val="18"/>
      </w:rPr>
      <w:instrText xml:space="preserve">PAGE</w:instrText>
    </w:r>
    <w:r>
      <w:rPr>
        <w:rFonts w:ascii="Times New Roman" w:hAnsi="Times New Roman" w:eastAsia="宋体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40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80" w:firstLineChars="200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Times New Roman" w:hAnsi="Times New Roman" w:eastAsia="宋体"/>
      <w:bCs/>
      <w:color w:val="000000"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838</Words>
  <Characters>875</Characters>
  <Lines>0</Lines>
  <Paragraphs>0</Paragraphs>
  <TotalTime>0</TotalTime>
  <ScaleCrop>false</ScaleCrop>
  <LinksUpToDate>false</LinksUpToDate>
  <CharactersWithSpaces>880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李振宁</cp:lastModifiedBy>
  <dcterms:modified xsi:type="dcterms:W3CDTF">2026-10-13T09:10:33Z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eyJoZGlkIjoiNmFiODQ1YzQ2ZDRkZWJhMTZhNWQzYjQ5MjYwYzU3NWMiLCJ1c2VySWQiOiIxODU1NDM4MDMzIn0=</vt:lpwstr>
  </property>
  <property fmtid="{D5CDD505-2E9C-101B-9397-08002B2CF9AE}" pid="3" name="KSOProductBuildVer">
    <vt:lpwstr>2052-12.1.0.28043</vt:lpwstr>
  </property>
  <property fmtid="{D5CDD505-2E9C-101B-9397-08002B2CF9AE}" pid="4" name="ICV">
    <vt:lpwstr>C9A389B5F13C4781A221972BF2BDFBC2_12</vt:lpwstr>
  </property>
</Properties>
</file>