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J1⑧7：粮食账（稻五斗）</w:t>
      </w:r>
    </w:p>
    <w:p>
      <w:pPr>
        <w:pStyle w:val="Heading1"/>
      </w:pPr>
      <w:r>
        <w:t>来源出处</w:t>
      </w:r>
    </w:p>
    <w:p>
      <w:r>
        <w:t>里耶古城一号井第八层出土，原整理号 8-7。</w:t>
      </w:r>
    </w:p>
    <w:p>
      <w:r>
        <w:t>释文、注释：《里耶秦简牍校释》第一卷，第 30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009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009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稻五斗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    丗一年九月辛亥，仓〼Ⅰ</w:t>
      </w:r>
    </w:p>
    <w:p>
      <w:r>
        <w:t w:space="preserve">令史尚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〼Ⅱ8-7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稻，农作物名，稻谷。</w:t>
      </w:r>
    </w:p>
    <w:p>
      <w:r>
        <w:t>原注释：</w:t>
      </w:r>
      <w:r>
        <w:t>左侧刻齿为“五斗五”。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尚，人名。</w:t>
      </w:r>
    </w:p>
    <w:p>
      <w:pPr>
        <w:pStyle w:val="Heading1"/>
      </w:pPr>
      <w:r>
        <w:t>书法</w:t>
      </w:r>
    </w:p>
    <w:p>
      <w:r>
        <w:t>窄牍两栏：一栏「稻五斗」「丗一年九月辛亥，仓」，一栏「令史尚」，栏末以Ⅰ、Ⅱ标序；字小而密。（据图1）</w:t>
      </w:r>
    </w:p>
    <w:p>
      <w:pPr>
        <w:pStyle w:val="Heading1"/>
      </w:pPr>
      <w:r>
        <w:t>简牍形制</w:t>
      </w:r>
    </w:p>
    <w:p>
      <w:r>
        <w:t w:space="preserve">窄牍，单面书写，字分两栏；左侧刻齿原注释为「五斗五」。（《校释》注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简文写「稻五斗」，简侧的刻齿写「五斗五」，两处记着同一笔粮。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