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8-755：迁陵县徒隶耕作文书</w:t>
      </w:r>
    </w:p>
    <w:p>
      <w:pPr>
        <w:pStyle w:val="Heading1"/>
      </w:pPr>
      <w:r>
        <w:t>来源出处</w:t>
      </w:r>
    </w:p>
    <w:p>
      <w:pPr/>
      <w:r>
        <w:t>宫宅潔《关于里耶秦简8-755～759号与8-1564号的编联》。</w:t>
      </w:r>
    </w:p>
    <w:p>
      <w:pPr>
        <w:pStyle w:val="Heading1"/>
      </w:pPr>
      <w:r>
        <w:t>图片</w:t>
      </w:r>
    </w:p>
    <w:p>
      <w:pPr>
        <w:keepNext/>
        <w:spacing w:before="120"/>
        <w:ind w:firstLine="0" w:firstLineChars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64840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ye_户版9-206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6484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360" w:line="240" w:lineRule="auto"/>
        <w:jc w:val="center"/>
      </w:pPr>
      <w:r>
        <w:t>图1 里耶秦简简牍展陈实拍（非本简专属图版）。正式图版底本：湖南省文物考古研究所编《里耶秦简（壹）》，文物出版社2012。</w:t>
      </w:r>
    </w:p>
    <w:p>
      <w:pPr>
        <w:pStyle w:val="Heading1"/>
      </w:pPr>
      <w:r>
        <w:t>释文</w:t>
      </w:r>
    </w:p>
    <w:p>
      <w:pPr/>
      <w:r>
        <w:t>宫宅潔论文所引释文开头作：“卅四年六月甲午朔乙卯，洞庭守礼谓迁陵丞。”下文讨论徒隶是否从事田作及迁陵县官吏的责任。本卡以开头纪日与发文对象为可读摘录，其余释文按论文刊载文本核录。</w:t>
      </w:r>
    </w:p>
    <w:p>
      <w:pPr>
        <w:pStyle w:val="Heading1"/>
      </w:pPr>
      <w:r>
        <w:t>文字</w:t>
      </w:r>
    </w:p>
    <w:p>
      <w:pPr/>
      <w:r>
        <w:t>简文起首记“卅四年六月甲午朔乙卯，洞庭守礼谓迁陵丞”，下文涉及徒隶田作状况及迁陵县官吏责任。</w:t>
      </w:r>
    </w:p>
    <w:p>
      <w:pPr>
        <w:pStyle w:val="Heading1"/>
      </w:pPr>
      <w:r>
        <w:t>书法</w:t>
      </w:r>
    </w:p>
    <w:p>
      <w:pPr/>
      <w:r>
        <w:t>简文篇首纪日及发文对象后接行政正文。原图可据以记录正文行向、行距与篇首空白，简面章法不以论文横排释文推断。</w:t>
      </w:r>
    </w:p>
    <w:p>
      <w:pPr>
        <w:pStyle w:val="Heading1"/>
      </w:pPr>
      <w:r>
        <w:t>简牍形制</w:t>
      </w:r>
    </w:p>
    <w:p>
      <w:pPr/>
      <w:r>
        <w:t>第八层木牍，正式整理本将该文书列于释文第49页。宫宅潔论文列有相关图版；研究页面未列单件尺寸，长宽厚不据同批材料估算。</w:t>
      </w:r>
    </w:p>
    <w:p>
      <w:pPr>
        <w:pStyle w:val="Heading1"/>
      </w:pPr>
      <w:r>
        <w:t>书写方式</w:t>
      </w:r>
    </w:p>
    <w:p>
      <w:pPr/>
      <w:r>
        <w:t>正文围绕徒隶田作与官吏责任展开，行政流程解释依据论文论证。</w:t>
      </w:r>
    </w:p>
    <w:p>
      <w:pPr>
        <w:pStyle w:val="Heading1"/>
      </w:pPr>
      <w:r>
        <w:t>美育价值</w:t>
      </w:r>
    </w:p>
    <w:p>
      <w:pPr/>
      <w:r>
        <w:t>可用作文献拼合方法的教学案例。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