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J1⑧8：残牍（毋应此里人名者）</w:t>
      </w:r>
    </w:p>
    <w:p>
      <w:pPr>
        <w:pStyle w:val="Heading1"/>
      </w:pPr>
      <w:r>
        <w:t>来源出处</w:t>
      </w:r>
    </w:p>
    <w:p>
      <w:r>
        <w:t>里耶古城一号井第八层出土，原整理号 8-8。</w:t>
      </w:r>
    </w:p>
    <w:p>
      <w:r>
        <w:t>释文、注释：《里耶秦简牍校释》第一卷，第 30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045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04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 xml:space="preserve">    </w:t>
      </w:r>
      <w:r>
        <w:t>毋</w:t>
      </w:r>
      <w:r>
        <w:drawing>
          <wp:inline xmlns:a="http://schemas.openxmlformats.org/drawingml/2006/main" xmlns:pic="http://schemas.openxmlformats.org/drawingml/2006/picture">
            <wp:extent cx="189000" cy="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w:space="preserve">（应）此里人名者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。8-8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drawing>
          <wp:inline xmlns:a="http://schemas.openxmlformats.org/drawingml/2006/main" xmlns:pic="http://schemas.openxmlformats.org/drawingml/2006/picture">
            <wp:extent cx="189000" cy="1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，读作应</w:t>
      </w:r>
      <w:r>
        <w:t>，</w:t>
      </w:r>
      <w:r>
        <w:t>符合。《庄子·马蹄》：“曲者中钩，直者应绳。”</w:t>
      </w:r>
      <w:r>
        <w:t>8-648</w:t>
      </w:r>
      <w:r>
        <w:t>有“毋应此人名者”。</w:t>
      </w:r>
    </w:p>
    <w:p>
      <w:pPr>
        <w:pStyle w:val="Heading1"/>
      </w:pPr>
      <w:r>
        <w:t>书法</w:t>
      </w:r>
    </w:p>
    <w:p>
      <w:r>
        <w:t>窄牍一行，字小而密，字距紧；笔画细挺。（据图1）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「毋（应）此里人名者」是一句核对名单的话。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