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9-1893：义陵用度文书残简</w:t>
      </w:r>
    </w:p>
    <w:p>
      <w:pPr>
        <w:pStyle w:val="Heading1"/>
      </w:pPr>
      <w:r>
        <w:t>来源出处</w:t>
      </w:r>
    </w:p>
    <w:p>
      <w:pPr/>
      <w:r>
        <w:t>张显成、唐强：《通过里耶秦简“义陵用度简”的复原看秦代官文书的生成、传递和存档》，西南大学汉语言文献研究所刊布。</w:t>
      </w:r>
    </w:p>
    <w:p>
      <w:pPr>
        <w:pStyle w:val="Heading1"/>
      </w:pPr>
      <w:r>
        <w:t>图片</w:t>
      </w:r>
    </w:p>
    <w:p>
      <w:pPr>
        <w:keepNext/>
        <w:spacing w:before="120"/>
        <w:ind w:firstLine="0" w:firstLineChars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57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ye_长简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57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360" w:line="240" w:lineRule="auto"/>
        <w:jc w:val="center"/>
      </w:pPr>
      <w:r>
        <w:t>图1 里耶秦简长牍展陈实拍（展签编号为8-664、8-162，博物馆公开展陈照片；非本简专属图版）。正式图版底本：《里耶秦简（壹）》，文物出版社2012。</w:t>
      </w:r>
    </w:p>
    <w:p>
      <w:pPr>
        <w:pStyle w:val="Heading1"/>
      </w:pPr>
      <w:r>
        <w:t>释文</w:t>
      </w:r>
    </w:p>
    <w:p>
      <w:pPr/>
      <w:r>
        <w:t>该文讨论义陵用度文书的多次处理与县级行政传递，9-1893作为档案材料编号见于研究。该文未刊本简完整单片释文，本卡以其文书性质概述为限，不补造缺文。</w:t>
      </w:r>
    </w:p>
    <w:p>
      <w:pPr>
        <w:pStyle w:val="Heading1"/>
      </w:pPr>
      <w:r>
        <w:t>文字</w:t>
      </w:r>
    </w:p>
    <w:p>
      <w:pPr/>
      <w:r>
        <w:t>义陵用度公文的组合结构和存档。</w:t>
      </w:r>
    </w:p>
    <w:p>
      <w:pPr>
        <w:pStyle w:val="Heading1"/>
      </w:pPr>
      <w:r>
        <w:t>书法</w:t>
      </w:r>
    </w:p>
    <w:p>
      <w:pPr/>
      <w:r>
        <w:t>在线研究主要讨论文书处理流程，未提供足以逐字分析书风的清晰单简图像；书法观察以正式图版可见的行向、字距、笔画粗细为限，不据此判定书手或风格。</w:t>
      </w:r>
    </w:p>
    <w:p>
      <w:pPr>
        <w:pStyle w:val="Heading1"/>
      </w:pPr>
      <w:r>
        <w:t>简牍形制</w:t>
      </w:r>
    </w:p>
    <w:p>
      <w:pPr/>
      <w:r>
        <w:t>第九层出土文书简。文中未列本件长宽厚数值；端部、正背面与残损范围据《里耶秦简（贰）》或馆藏图版书。</w:t>
      </w:r>
    </w:p>
    <w:p>
      <w:pPr>
        <w:pStyle w:val="Heading1"/>
      </w:pPr>
      <w:r>
        <w:t>书写方式</w:t>
      </w:r>
    </w:p>
    <w:p>
      <w:pPr/>
      <w:r>
        <w:t>文书流程复原依据日期、收文记录、书手与文书内容，各推论均标注来源。</w:t>
      </w:r>
    </w:p>
    <w:p>
      <w:pPr>
        <w:pStyle w:val="Heading1"/>
      </w:pPr>
      <w:r>
        <w:t>美育价值</w:t>
      </w:r>
    </w:p>
    <w:p>
      <w:pPr/>
      <w:r>
        <w:t>帮助理解一件文书如何在行政流转中逐步形成。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