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9-2469：义陵用度文书残简</w:t>
      </w:r>
    </w:p>
    <w:p>
      <w:pPr>
        <w:pStyle w:val="Heading1"/>
      </w:pPr>
      <w:r>
        <w:t>来源出处</w:t>
      </w:r>
    </w:p>
    <w:p>
      <w:pPr/>
      <w:r>
        <w:t>张显成、唐强：《通过里耶秦简“义陵用度简”的复原看秦代官文书的生成、传递和存档》，西南大学汉语言文献研究所刊布。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83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单简展框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8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里耶秦简文书木牍陈列实拍（博物馆公开展陈照片；非本简专属图版）。正式图版底本：《里耶秦简（壹）》，文物出版社2012。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该文将9-2469列入义陵用度文书档案研究，讨论其与行政传递、追报记录相关的材料价值。该研究未提供可逐字转录的单片完整释文，本卡以其材料说明为据，释字不作推补。</w:t>
      </w:r>
    </w:p>
    <w:p>
      <w:pPr>
        <w:pStyle w:val="Heading1"/>
      </w:pPr>
      <w:r>
        <w:t>文字</w:t>
      </w:r>
    </w:p>
    <w:p>
      <w:pPr/>
      <w:r>
        <w:t>文书追报与跨县传送。</w:t>
      </w:r>
    </w:p>
    <w:p>
      <w:pPr>
        <w:pStyle w:val="Heading1"/>
      </w:pPr>
      <w:r>
        <w:t>书法</w:t>
      </w:r>
    </w:p>
    <w:p>
      <w:pPr/>
      <w:r>
        <w:t>所引研究重点为文书档案内容，未呈现可供笔法判断的单简高清图；书法描述落实为正式图版上的字径、行向与笔画保存情况，不作无依据的风格归类。</w:t>
      </w:r>
    </w:p>
    <w:p>
      <w:pPr>
        <w:pStyle w:val="Heading1"/>
      </w:pPr>
      <w:r>
        <w:t>简牍形制</w:t>
      </w:r>
    </w:p>
    <w:p>
      <w:pPr/>
      <w:r>
        <w:t>第九层出土文书简。文中未列本件长宽厚数值；长宽厚、简端与残损据《里耶秦简（贰）》及馆藏彩色、红外图版核对。</w:t>
      </w:r>
    </w:p>
    <w:p>
      <w:pPr>
        <w:pStyle w:val="Heading1"/>
      </w:pPr>
      <w:r>
        <w:t>书写方式</w:t>
      </w:r>
    </w:p>
    <w:p>
      <w:pPr/>
      <w:r>
        <w:t>多次递送、追报构成文书链条，文本释读宜按时间排序，而非只按出土号排列。</w:t>
      </w:r>
    </w:p>
    <w:p>
      <w:pPr>
        <w:pStyle w:val="Heading1"/>
      </w:pPr>
      <w:r>
        <w:t>美育价值</w:t>
      </w:r>
    </w:p>
    <w:p>
      <w:pPr/>
      <w:r>
        <w:t>可作“编号顺序”与“文书发生顺序”差异的案例。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