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里耶秦简（湖南博物馆藏）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393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ugu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9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里耶秦简（湖南博物馆藏）。出处：里耶秦简博物馆藏；据展陈照/图版。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单枚长简，墨字密集直行；记洞庭郡迁陵县下行公文，是县廷日常行政文书。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章法：公文直行书写，字距行距匀整；纪日、发文、正文连贯，层次分明。</w:t>
      </w:r>
    </w:p>
    <w:p>
      <w:pPr/>
      <w:r>
        <w:t>笔法：墨色饱满，运笔整饬；横平竖直，转折多方折。</w:t>
      </w:r>
    </w:p>
    <w:p>
      <w:pPr/>
      <w:r>
        <w:t>结体：字形方整，行列有序；是地方行政文书的标准体态。</w:t>
      </w:r>
    </w:p>
    <w:p>
      <w:pPr/>
      <w:r>
        <w:t>篆隶关系：规范秦隶，横扁化、方折多；保留少量篆意而隶意成熟。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ugua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“迁”：走之旁舒展。</w:t>
      </w:r>
    </w:p>
    <w:p>
      <w:pPr/>
      <w:r>
        <w:t>“陵”：左阜旁。</w:t>
      </w:r>
    </w:p>
    <w:p>
      <w:pPr/>
      <w:r>
        <w:t>“丞”：横画平行。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wuguan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