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J1⑤14：残简（「县中」）</w:t>
      </w:r>
    </w:p>
    <w:p>
      <w:pPr>
        <w:pStyle w:val="Heading1"/>
      </w:pPr>
      <w:r>
        <w:t>来源出处</w:t>
      </w:r>
    </w:p>
    <w:p>
      <w:r>
        <w:t>里耶古城一号井第五层出土，原整理号 5-14。</w:t>
      </w:r>
    </w:p>
    <w:p>
      <w:r>
        <w:t>释文、注释：《里耶秦简牍校释》第一卷，第 11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43529" cy="467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1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3529" cy="46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5-14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8166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縣　</w:t>
      </w:r>
      <w:r>
        <w:t>繫也。从系持𥄉。（《说文解字》卷九·𥄉部）</w:t>
      </w:r>
    </w:p>
    <w:p>
      <w:r>
        <w:drawing>
          <wp:inline xmlns:a="http://schemas.openxmlformats.org/drawingml/2006/main" xmlns:pic="http://schemas.openxmlformats.org/drawingml/2006/picture">
            <wp:extent cx="32909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0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中　</w:t>
      </w:r>
      <w:r>
        <w:t>内也。从口。丨，上下通。（《说文解字》卷一·丨部）</w:t>
      </w:r>
    </w:p>
    <w:p>
      <w:pPr>
        <w:pStyle w:val="Caption"/>
      </w:pPr>
      <w:r>
        <w:t>图2  5-14 逐字字形与本义（共 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〼县中〼5-14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正面存「县中」二字，笔画细，横画平。（据图1）</w:t>
      </w:r>
    </w:p>
    <w:p>
      <w:pPr>
        <w:pStyle w:val="Heading1"/>
      </w:pPr>
      <w:r>
        <w:t>简牍形制</w:t>
      </w:r>
    </w:p>
    <w:p>
      <w:r>
        <w:t>残简，单面书写。（据图1）</w:t>
      </w:r>
    </w:p>
    <w:p>
      <w:pPr>
        <w:pStyle w:val="Heading1"/>
      </w:pPr>
      <w:r>
        <w:t>书写方式</w:t>
      </w:r>
    </w:p>
    <w:p>
      <w:r>
        <w:t>墨色较淡。（据图1）</w:t>
      </w:r>
    </w:p>
    <w:p>
      <w:pPr>
        <w:pStyle w:val="Heading1"/>
      </w:pPr>
      <w:r>
        <w:t>美育价值</w:t>
      </w:r>
    </w:p>
    <w:p>
      <w:r>
        <w:t>「县中」两字把文书涉及的范围点了出来。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