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J1⑤16：残简（「□阳□」）</w:t>
      </w:r>
    </w:p>
    <w:p>
      <w:pPr>
        <w:pStyle w:val="Heading1"/>
      </w:pPr>
      <w:r>
        <w:t>来源出处</w:t>
      </w:r>
    </w:p>
    <w:p>
      <w:r>
        <w:t>里耶古城一号井第五层出土，原整理号 5-16。</w:t>
      </w:r>
    </w:p>
    <w:p>
      <w:r>
        <w:t>释文、注释：《里耶秦简牍校释》第一卷，第 12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402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40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5-16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2530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3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pPr>
        <w:pStyle w:val="Caption"/>
      </w:pPr>
      <w:r>
        <w:t>图2  5-16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〼□阳□〼5-16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残片，正面只余零星笔画与墨痕。（据图1）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墨色淡。（据图1）</w:t>
      </w:r>
    </w:p>
    <w:p>
      <w:pPr>
        <w:pStyle w:val="Heading1"/>
      </w:pPr>
      <w:r>
        <w:t>美育价值</w:t>
      </w:r>
    </w:p>
    <w:p>
      <w:r>
        <w:t>一片残牍上的两三个字，也能看出秦隶横平竖直的样子。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