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J1⑤18：人口统计（大奴大婢）</w:t>
      </w:r>
    </w:p>
    <w:p>
      <w:pPr>
        <w:pStyle w:val="Heading1"/>
      </w:pPr>
      <w:r>
        <w:t>来源出处</w:t>
      </w:r>
    </w:p>
    <w:p>
      <w:r>
        <w:t>里耶古城一号井第五层出土，原整理号 5-18。</w:t>
      </w:r>
    </w:p>
    <w:p>
      <w:r>
        <w:t>释文、注释：《里耶秦简牍校释》第一卷，第 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614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614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97428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大　</w:t>
      </w:r>
      <w:r>
        <w:t>天大，地大，人亦大。故大象人形。古文大(他達切)也。凡大之屬皆从大。（《说文解字》卷十·大部）</w:t>
      </w:r>
    </w:p>
    <w:p>
      <w:r>
        <w:drawing>
          <wp:inline xmlns:a="http://schemas.openxmlformats.org/drawingml/2006/main" xmlns:pic="http://schemas.openxmlformats.org/drawingml/2006/picture">
            <wp:extent cx="45372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奴　</w:t>
      </w:r>
      <w:r>
        <w:t>奴、婢，皆古之辠人也。《周禮》曰：“其奴，男子入于辠隸，女子入于舂藁。”从女从又。（《说文解字》卷十二·女部）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1191789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1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20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大　</w:t>
      </w:r>
      <w:r>
        <w:t>天大，地大，人亦大。故大象人形。古文大(他達切)也。凡大之屬皆从大。（《说文解字》卷十·大部）</w:t>
      </w:r>
    </w:p>
    <w:p>
      <w:r>
        <w:drawing>
          <wp:inline xmlns:a="http://schemas.openxmlformats.org/drawingml/2006/main" xmlns:pic="http://schemas.openxmlformats.org/drawingml/2006/picture">
            <wp:extent cx="485379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婢　</w:t>
      </w:r>
      <w:r>
        <w:t>女之卑者也。从女从卑，卑亦聲。（《说文解字》卷十二·女部）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711243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8820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45875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5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奴　</w:t>
      </w:r>
      <w:r>
        <w:t>奴、婢，皆古之辠人也。《周禮》曰：“其奴，男子入于辠隸，女子入于舂藁。”从女从又。（《说文解字》卷十二·女部）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9792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婢　</w:t>
      </w:r>
      <w:r>
        <w:t>女之卑者也。从女从卑，卑亦聲。（《说文解字》卷十二·女部）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1107428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0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75200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71652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1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830571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30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口　</w:t>
      </w:r>
      <w:r>
        <w:t>人所以言食也。象形。凡口之屬皆从口。（《说文解字》卷二·口部）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392888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數　</w:t>
      </w:r>
      <w:r>
        <w:t>計也。从攴婁聲。（《说文解字》卷三·攴部）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664085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0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07829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37181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7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pPr>
        <w:pStyle w:val="Caption"/>
      </w:pPr>
      <w:r>
        <w:t>图2  5-18 逐字字形与本义（共 23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大奴一人。Ⅰ</w:t>
      </w:r>
    </w:p>
    <w:p>
      <w:r>
        <w:t>大婢三人。Ⅱ</w:t>
      </w:r>
    </w:p>
    <w:p>
      <w:r>
        <w:t>小奴一人。Ⅲ</w:t>
      </w:r>
    </w:p>
    <w:p>
      <w:r>
        <w:t>小婢一人</w:t>
      </w:r>
      <w:r>
        <w:rPr>
          <w:vertAlign w:val="superscript"/>
          <w:sz w:val="18"/>
          <w:szCs w:val="18"/>
        </w:rPr>
        <w:t xml:space="preserve">［1］</w:t>
      </w:r>
      <w:r>
        <w:t>。Ⅳ</w:t>
      </w:r>
    </w:p>
    <w:p>
      <w:r>
        <w:t>·凡口数六十五〼Ⅴ5-18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大奴、大婢，成年男女奴隶。小奴、小婢，未成年男女奴隶。有学者推测，汉代六岁及以下为未使男女，七岁至十四岁为使男、使女，十五岁及以上为大男、大女。其使男使女可以统称为小男小女。可参考。</w:t>
      </w:r>
    </w:p>
    <w:p>
      <w:pPr>
        <w:pStyle w:val="Heading1"/>
      </w:pPr>
      <w:r>
        <w:t>书法</w:t>
      </w:r>
    </w:p>
    <w:p>
      <w:r>
        <w:t>正面五栏直书，每栏一句，栏末以Ⅰ—Ⅴ标序；字小而匀，横画平直，栏距清楚。（据图1）</w:t>
      </w:r>
    </w:p>
    <w:p>
      <w:pPr>
        <w:pStyle w:val="Heading1"/>
      </w:pPr>
      <w:r>
        <w:t>简牍形制</w:t>
      </w:r>
    </w:p>
    <w:p>
      <w:r>
        <w:t>残牍，单面书写，字分五栏。（据图1）</w:t>
      </w:r>
    </w:p>
    <w:p>
      <w:pPr>
        <w:pStyle w:val="Heading1"/>
      </w:pPr>
      <w:r>
        <w:t>书写方式</w:t>
      </w:r>
    </w:p>
    <w:p>
      <w:r>
        <w:t>墨色中等，五栏笔迹一致。（据图1）</w:t>
      </w:r>
    </w:p>
    <w:p>
      <w:pPr>
        <w:pStyle w:val="Heading1"/>
      </w:pPr>
      <w:r>
        <w:t>美育价值</w:t>
      </w:r>
    </w:p>
    <w:p>
      <w:r>
        <w:t>「大奴一人。大婢三人。小奴一人。小婢一人。」四句话就是一份人口账。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