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简号 J1⑤21：残片（笔迹不可辨）</w:t>
      </w:r>
    </w:p>
    <w:p>
      <w:pPr>
        <w:pStyle w:val="Heading1"/>
      </w:pPr>
      <w:r>
        <w:t>来源出处</w:t>
      </w:r>
    </w:p>
    <w:p>
      <w:r>
        <w:t>里耶古城一号井第五层出土，原整理号 5-21。</w:t>
      </w:r>
    </w:p>
    <w:p>
      <w:r>
        <w:t>释文、注释：《里耶秦简牍校释》第一卷，第 13 页。</w:t>
      </w:r>
    </w:p>
    <w:p>
      <w:r>
        <w:t>图版、单字字形：秦簡字形庫（www.kaom.net）《里耶1》。</w:t>
      </w:r>
    </w:p>
    <w:p>
      <w:pPr>
        <w:pStyle w:val="Heading1"/>
      </w:pPr>
      <w:r>
        <w:t>图片</w:t>
      </w:r>
    </w:p>
    <w:p>
      <w:pPr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340000" cy="282039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5-21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282039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里耶秦简 5-21 实物照片。出处：秦簡字形庫（www.kaom.net）《里耶1》图版。</w:t>
      </w:r>
    </w:p>
    <w:p>
      <w:r>
        <w:drawing>
          <wp:inline xmlns:a="http://schemas.openxmlformats.org/drawingml/2006/main" xmlns:pic="http://schemas.openxmlformats.org/drawingml/2006/picture">
            <wp:extent cx="602129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2129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480303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30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r>
        <w:drawing>
          <wp:inline xmlns:a="http://schemas.openxmlformats.org/drawingml/2006/main" xmlns:pic="http://schemas.openxmlformats.org/drawingml/2006/picture">
            <wp:extent cx="612000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b/>
        </w:rPr>
        <w:t xml:space="preserve">　□　</w:t>
      </w:r>
      <w:r>
        <w:t>《说文解字》未收此字。</w:t>
      </w:r>
    </w:p>
    <w:p>
      <w:pPr>
        <w:pStyle w:val="Caption"/>
      </w:pPr>
      <w:r>
        <w:t>图2  5-21 逐字字形与本义（共 3 字，按原简文字序）。字形出处：秦簡字形庫（www.kaom.net）《里耶1》；本义出处：《说文解字》大徐本。</w:t>
      </w:r>
    </w:p>
    <w:p>
      <w:pPr>
        <w:pStyle w:val="Heading1"/>
      </w:pPr>
      <w:r>
        <w:t>释文</w:t>
      </w:r>
    </w:p>
    <w:p>
      <w:r>
        <w:t>〼□□□〼5-21</w:t>
      </w:r>
    </w:p>
    <w:p>
      <w:pPr>
        <w:pStyle w:val="Heading1"/>
      </w:pPr>
      <w:r>
        <w:t>文字</w:t>
      </w:r>
    </w:p>
    <w:p>
      <w:pPr>
        <w:pStyle w:val="Heading1"/>
      </w:pPr>
      <w:r>
        <w:t>书法</w:t>
      </w:r>
    </w:p>
    <w:p>
      <w:r>
        <w:t>残片，简面发黑，笔迹已不可辨。（据图1）</w:t>
      </w:r>
    </w:p>
    <w:p>
      <w:pPr>
        <w:pStyle w:val="Heading1"/>
      </w:pPr>
      <w:r>
        <w:t>简牍形制</w:t>
      </w:r>
    </w:p>
    <w:p>
      <w:r>
        <w:t>残片。（据图1）</w:t>
      </w:r>
    </w:p>
    <w:p>
      <w:pPr>
        <w:pStyle w:val="Heading1"/>
      </w:pPr>
      <w:r>
        <w:t>书写方式</w:t>
      </w:r>
    </w:p>
    <w:p>
      <w:r>
        <w:t>墨迹漫漶。（据图1）</w:t>
      </w:r>
    </w:p>
    <w:p>
      <w:pPr>
        <w:pStyle w:val="Heading1"/>
      </w:pPr>
      <w:r>
        <w:t>美育价值</w:t>
      </w:r>
    </w:p>
    <w:p>
      <w:r>
        <w:t>不是每一枚简都能读——残片也有残片的用处。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 w:firstLineChars="20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60" w:line="240" w:lineRule="auto" w:before="0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Times New Roman" w:hAnsi="Times New Roman" w:eastAsia="宋体"/>
      <w:b w:val="0"/>
      <w:bCs/>
      <w:color w:val="000000"/>
      <w:sz w:val="2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jp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