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J1⑤22：狱东曹移送文书（封检记录）</w:t>
      </w:r>
    </w:p>
    <w:p>
      <w:pPr>
        <w:pStyle w:val="Heading1"/>
      </w:pPr>
      <w:r>
        <w:t>来源出处</w:t>
      </w:r>
    </w:p>
    <w:p>
      <w:r>
        <w:t>里耶古城一号井第五层出土，原整理号 5-22。</w:t>
      </w:r>
    </w:p>
    <w:p>
      <w:r>
        <w:t>释文、注释：《里耶秦简牍校释》第一卷，第 13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298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8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360493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4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東　</w:t>
      </w:r>
      <w:r>
        <w:t>動也。从木。官溥說：从日在木中。凡東之屬皆从東。（《说文解字》卷六·東部）</w:t>
      </w:r>
    </w:p>
    <w:p>
      <w:r>
        <w:drawing>
          <wp:inline xmlns:a="http://schemas.openxmlformats.org/drawingml/2006/main" xmlns:pic="http://schemas.openxmlformats.org/drawingml/2006/picture">
            <wp:extent cx="449783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曹　</w:t>
      </w:r>
      <w:r>
        <w:t>獄之兩曹也。在廷東。从㯥，治事者；从曰。（《说文解字》卷五·曰部）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297257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938399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83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76048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0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封　</w:t>
      </w:r>
      <w:r>
        <w:t>爵諸矦之土也。从之从土从寸，守其制度也。公侯，百里；伯，七十里；子男，五十里。（《说文解字》卷十三·土部）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55250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18329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3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印　</w:t>
      </w:r>
      <w:r>
        <w:t>執政所持信也。从爪从卪。凡印之屬皆从印。（《说文解字》卷九·印部）</w:t>
      </w:r>
    </w:p>
    <w:p>
      <w:r>
        <w:drawing>
          <wp:inline xmlns:a="http://schemas.openxmlformats.org/drawingml/2006/main" xmlns:pic="http://schemas.openxmlformats.org/drawingml/2006/picture">
            <wp:extent cx="384127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1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詣　</w:t>
      </w:r>
      <w:r>
        <w:t>𠋫至也。从言旨聲。（《说文解字》卷三·言部）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63564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5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無　</w:t>
      </w:r>
      <w:r>
        <w:t>亡也。从亾𣞤聲。（《说文解字》卷十二·亾部）</w:t>
      </w:r>
    </w:p>
    <w:p>
      <w:r>
        <w:drawing>
          <wp:inline xmlns:a="http://schemas.openxmlformats.org/drawingml/2006/main" xmlns:pic="http://schemas.openxmlformats.org/drawingml/2006/picture">
            <wp:extent cx="432878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8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1197391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97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3894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517034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88905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9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468562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600872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0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61353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3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342989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刻　</w:t>
      </w:r>
      <w:r>
        <w:t>鏤也。从刀亥聲。（《说文解字》卷四·刀部）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57357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3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42810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28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99800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pPr>
        <w:pStyle w:val="Caption"/>
      </w:pPr>
      <w:r>
        <w:t>图2  5-22 逐字字形与本义（共 24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狱东曹书一封</w:t>
      </w:r>
      <w:r>
        <w:rPr>
          <w:vertAlign w:val="superscript"/>
          <w:sz w:val="18"/>
          <w:szCs w:val="18"/>
        </w:rPr>
        <w:t xml:space="preserve">［1］</w:t>
      </w:r>
      <w:r>
        <w:t>，丞印</w:t>
      </w:r>
      <w:r>
        <w:rPr>
          <w:vertAlign w:val="superscript"/>
          <w:sz w:val="18"/>
          <w:szCs w:val="18"/>
        </w:rPr>
        <w:t xml:space="preserve">［2］</w:t>
      </w:r>
      <w:r>
        <w:t>，诣无阳</w:t>
      </w:r>
      <w:r>
        <w:rPr>
          <w:vertAlign w:val="superscript"/>
          <w:sz w:val="18"/>
          <w:szCs w:val="18"/>
        </w:rPr>
        <w:t xml:space="preserve">［3］</w:t>
      </w:r>
      <w:r>
        <w:t>。·九月己亥水下三刻</w:t>
      </w:r>
      <w:r>
        <w:rPr>
          <w:vertAlign w:val="superscript"/>
          <w:sz w:val="18"/>
          <w:szCs w:val="18"/>
        </w:rPr>
        <w:t xml:space="preserve">［4］</w:t>
      </w:r>
      <w:r>
        <w:t>，□□以来</w:t>
      </w:r>
      <w:r>
        <w:rPr>
          <w:vertAlign w:val="superscript"/>
          <w:sz w:val="18"/>
          <w:szCs w:val="18"/>
        </w:rPr>
        <w:t xml:space="preserve">［5］</w:t>
      </w:r>
      <w:r>
        <w:t>。5-22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狱东曹，治狱机构。封，文书移送时需要封缄，引申指封缄的书信。</w:t>
      </w:r>
    </w:p>
    <w:p>
      <w:r>
        <w:t>[2] 印，印章，简文是说封泥上加盖丞印。</w:t>
      </w:r>
    </w:p>
    <w:p>
      <w:r>
        <w:t>[3] 诣，前往、到。《史记·孝文本纪》：“乃命宋昌参乘，张武等六人乘传诣长安。”这里指送达书信的目的地。</w:t>
      </w:r>
    </w:p>
    <w:p>
      <w:r>
        <w:t>无阳，县名，《汉书·地理志》属武陵郡，县治约在今湖南芷江侗族自治县东北。</w:t>
      </w:r>
    </w:p>
    <w:p>
      <w:r>
        <w:t>[4] 水下三刻，纪时用语。李学勤先生根据初步发表的里耶简牍资料指出：所记漏刻皆指白昼。即将一昼分为十一刻，刻于漏壶箭上，视箭沉下几刻。与汉代“昼夜百刻”的漏制比较，是很原始的。张春龙先生、龙京沙先生披露另有简文云“夜水下四刻”，显示漏壶有昼夜之别。胡平生先生认为秦时白天、黑夜各有11刻，一昼夜有22刻。</w:t>
      </w:r>
    </w:p>
    <w:p>
      <w:r>
        <w:t>[5] 原释文以为简末有缺文。今按：8-1154有相似表述，可知此简文完整。</w:t>
      </w:r>
    </w:p>
    <w:p>
      <w:pPr>
        <w:pStyle w:val="Heading1"/>
      </w:pPr>
      <w:r>
        <w:t>书法</w:t>
      </w:r>
    </w:p>
    <w:p>
      <w:r>
        <w:t>细长简一行到底，字小而密，字距极紧；笔画细挺，横画平出，全行一气写成。（据图1）</w:t>
      </w:r>
    </w:p>
    <w:p>
      <w:pPr>
        <w:pStyle w:val="Heading1"/>
      </w:pPr>
      <w:r>
        <w:t>简牍形制</w:t>
      </w:r>
    </w:p>
    <w:p>
      <w:r>
        <w:t>窄长木简，单面书写，一行到底。（据图1）</w:t>
      </w:r>
    </w:p>
    <w:p>
      <w:pPr>
        <w:pStyle w:val="Heading1"/>
      </w:pPr>
      <w:r>
        <w:t>书写方式</w:t>
      </w:r>
    </w:p>
    <w:p>
      <w:r>
        <w:t>墨色均匀，行笔快而不乱。（据图1）</w:t>
      </w:r>
    </w:p>
    <w:p>
      <w:pPr>
        <w:pStyle w:val="Heading1"/>
      </w:pPr>
      <w:r>
        <w:t>美育价值</w:t>
      </w:r>
    </w:p>
    <w:p>
      <w:r>
        <w:t>一行字就是一张「快递单」：封了几封、盖谁的印、送到哪儿、什么时候到。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