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J1⑤35：邮行文牍（迁陵—洞庭）</w:t>
      </w:r>
    </w:p>
    <w:p>
      <w:pPr>
        <w:pStyle w:val="Heading1"/>
      </w:pPr>
      <w:r>
        <w:t>来源出处</w:t>
      </w:r>
    </w:p>
    <w:p>
      <w:r>
        <w:t>里耶古城一号井第五层出土，原整理号 5-35。</w:t>
      </w:r>
    </w:p>
    <w:p>
      <w:r>
        <w:t>释文、注释：《里耶秦简牍校释》第一卷，第 16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9809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809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5-35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26857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9572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83862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8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81281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2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861795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17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郵　</w:t>
      </w:r>
      <w:r>
        <w:t>境上行書舍。从邑、垂。垂，邊也。（《说文解字》卷六·邑部）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320343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3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pPr>
        <w:pStyle w:val="Caption"/>
      </w:pPr>
      <w:r>
        <w:t>图2  5-35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迁陵洞庭，Ⅰ以邮行。Ⅱ5-35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牍面宽，正面两栏：「迁陵洞庭」「以邮行」，字大而匀，笔画饱满。（据图1）</w:t>
      </w:r>
    </w:p>
    <w:p>
      <w:pPr>
        <w:pStyle w:val="Heading1"/>
      </w:pPr>
      <w:r>
        <w:t>简牍形制</w:t>
      </w:r>
    </w:p>
    <w:p>
      <w:r>
        <w:t>木牍，单面书写，字分两栏。（据图1）</w:t>
      </w:r>
    </w:p>
    <w:p>
      <w:pPr>
        <w:pStyle w:val="Heading1"/>
      </w:pPr>
      <w:r>
        <w:t>书写方式</w:t>
      </w:r>
    </w:p>
    <w:p>
      <w:r>
        <w:t>墨色浓，笔画起收清楚。（据图1）</w:t>
      </w:r>
    </w:p>
    <w:p>
      <w:pPr>
        <w:pStyle w:val="Heading1"/>
      </w:pPr>
      <w:r>
        <w:t>美育价值</w:t>
      </w:r>
    </w:p>
    <w:p>
      <w:r>
        <w:t>和 5-34 一样是邮行文书的封面：从迁陵送往洞庭。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