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J1⑤4：残简（「之」原释作「止」）</w:t>
      </w:r>
    </w:p>
    <w:p>
      <w:pPr>
        <w:pStyle w:val="Heading1"/>
      </w:pPr>
      <w:r>
        <w:t>来源出处</w:t>
      </w:r>
    </w:p>
    <w:p>
      <w:r>
        <w:t>里耶古城一号井第五层出土，原整理号 5-4。</w:t>
      </w:r>
    </w:p>
    <w:p>
      <w:r>
        <w:t>释文、注释：《里耶秦简牍校释》第一卷，第 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78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7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5-4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16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1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5-4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79429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4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5777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82008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0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56028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5719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1192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死　</w:t>
      </w:r>
      <w:r>
        <w:t>澌也，人所離也。从歺从人。凡死之屬皆从死。（《说文解字》卷四·死部）</w:t>
      </w:r>
    </w:p>
    <w:p>
      <w:r>
        <w:drawing>
          <wp:inline xmlns:a="http://schemas.openxmlformats.org/drawingml/2006/main" xmlns:pic="http://schemas.openxmlformats.org/drawingml/2006/picture">
            <wp:extent cx="474612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軍　</w:t>
      </w:r>
      <w:r>
        <w:t>圜圍也。四千人爲軍。从車，从包省。軍，兵車也。（《说文解字》卷十四·車部）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坆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4242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24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貞　</w:t>
      </w:r>
      <w:r>
        <w:t>卜問也。从卜，貝以爲贄。一曰鼎省聲。京房所說。（《说文解字》卷三·卜部）</w:t>
      </w:r>
    </w:p>
    <w:p>
      <w:pPr>
        <w:pStyle w:val="Caption"/>
      </w:pPr>
      <w:r>
        <w:t>图3  5-4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〼之中士下事</w:t>
      </w:r>
      <w:r>
        <w:rPr>
          <w:vertAlign w:val="superscript"/>
          <w:sz w:val="18"/>
          <w:szCs w:val="18"/>
        </w:rPr>
        <w:t xml:space="preserve">［1］</w:t>
      </w:r>
      <w:r>
        <w:t xml:space="preserve">〼5-4 </w:t>
      </w:r>
    </w:p>
    <w:p>
      <w:r>
        <w:t>〼死军坆【贞】〼5-4背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［1］之，原释文作“止”。</w:t>
      </w:r>
    </w:p>
    <w:p>
      <w:pPr>
        <w:pStyle w:val="Heading1"/>
      </w:pPr>
      <w:r>
        <w:t>书法</w:t>
      </w:r>
    </w:p>
    <w:p>
      <w:r>
        <w:t>残简，可辨之字仅四五个，笔画细小。（据图1）</w:t>
      </w:r>
    </w:p>
    <w:p>
      <w:r>
        <w:t>字数太少，结体无从论起。</w:t>
      </w:r>
    </w:p>
    <w:p>
      <w:pPr>
        <w:pStyle w:val="Heading1"/>
      </w:pPr>
      <w:r>
        <w:t>简牍形制</w:t>
      </w:r>
    </w:p>
    <w:p>
      <w:r>
        <w:t>残简，正、背两面有字。（据图1、图2）</w:t>
      </w:r>
    </w:p>
    <w:p>
      <w:pPr>
        <w:pStyle w:val="Heading1"/>
      </w:pPr>
      <w:r>
        <w:t>书写方式</w:t>
      </w:r>
    </w:p>
    <w:p>
      <w:r>
        <w:t>墨色偏浓，残存笔画清晰。（据图1）</w:t>
      </w:r>
    </w:p>
    <w:p>
      <w:pPr>
        <w:pStyle w:val="Heading1"/>
      </w:pPr>
      <w:r>
        <w:t>美育价值</w:t>
      </w:r>
    </w:p>
    <w:p>
      <w:r>
        <w:t>「之」与「止」只差一笔，残简上少一笔，字就换了一个。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