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J1⑥18：邮行文牍（金布—洞庭）</w:t>
      </w:r>
    </w:p>
    <w:p>
      <w:pPr>
        <w:pStyle w:val="Heading1"/>
      </w:pPr>
      <w:r>
        <w:t>来源出处</w:t>
      </w:r>
    </w:p>
    <w:p>
      <w:r>
        <w:t>里耶古城一号井第六层出土，原整理号 6-18。</w:t>
      </w:r>
    </w:p>
    <w:p>
      <w:r>
        <w:t>释文、注释：《里耶秦简牍校释》第一卷，第 23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309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09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1771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468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780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1809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0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布　</w:t>
      </w:r>
      <w:r>
        <w:t>枲織也。从巾父聲。（《说文解字》卷七·巾部）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41509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0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6-18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迁陵金布Ⅰ发洞庭</w:t>
      </w:r>
      <w:r>
        <w:rPr>
          <w:vertAlign w:val="superscript"/>
          <w:sz w:val="18"/>
          <w:szCs w:val="18"/>
        </w:rPr>
        <w:t xml:space="preserve">［1］</w:t>
      </w:r>
      <w:r>
        <w:t>。Ⅱ6-18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金布，管理金钱、布帛等财物的机构。《汉书·萧望之传》颜注：“《金布》者，令篇名也。其上有府库金钱布帛之事，因以篇名。”里耶9-4号简记云：“谒报。报署金布发。”可参看。</w:t>
      </w:r>
    </w:p>
    <w:p>
      <w:pPr>
        <w:pStyle w:val="Heading1"/>
      </w:pPr>
      <w:r>
        <w:t>书法</w:t>
      </w:r>
    </w:p>
    <w:p>
      <w:r>
        <w:t>窄牍两栏直书：「迁陵金布」「发洞庭」，栏末以Ⅰ、Ⅱ标序；字小而匀。（据图1）</w:t>
      </w:r>
    </w:p>
    <w:p>
      <w:pPr>
        <w:pStyle w:val="Heading1"/>
      </w:pPr>
      <w:r>
        <w:t>简牍形制</w:t>
      </w:r>
    </w:p>
    <w:p>
      <w:r>
        <w:t>窄牍，单面书写，字分两栏。（据图1）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「金布」是管钱物的机构，「发」是拆封——这枚牍记的是谁拆了哪件文书。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