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简号 J1⑥36：残牍（廿五年书有物）</w:t>
      </w:r>
    </w:p>
    <w:p>
      <w:pPr>
        <w:pStyle w:val="Heading1"/>
      </w:pPr>
      <w:r>
        <w:t>来源出处</w:t>
      </w:r>
    </w:p>
    <w:p>
      <w:r>
        <w:t>里耶古城一号井第六层出土，原整理号 6-36。</w:t>
      </w:r>
    </w:p>
    <w:p>
      <w:r>
        <w:t>释文、注释：《里耶秦简牍校释》第一卷，第 27 页。</w:t>
      </w:r>
    </w:p>
    <w:p>
      <w:r>
        <w:t>图版、单字字形：秦簡字形庫（www.kaom.net）《里耶1》。</w:t>
      </w:r>
    </w:p>
    <w:p>
      <w:pPr>
        <w:pStyle w:val="Heading1"/>
      </w:pPr>
      <w:r>
        <w:t>图片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2340000" cy="458204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-36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45820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图1  里耶秦简 6-36 实物照片。出处：秦簡字形庫（www.kaom.net）《里耶1》图版。</w:t>
      </w:r>
    </w:p>
    <w:p>
      <w:r>
        <w:drawing>
          <wp:inline xmlns:a="http://schemas.openxmlformats.org/drawingml/2006/main" xmlns:pic="http://schemas.openxmlformats.org/drawingml/2006/picture">
            <wp:extent cx="935000" cy="612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935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廿　</w:t>
      </w:r>
      <w:r>
        <w:t>二十并也。古文省。（《说文解字》卷三·十部）</w:t>
      </w:r>
    </w:p>
    <w:p>
      <w:r>
        <w:drawing>
          <wp:inline xmlns:a="http://schemas.openxmlformats.org/drawingml/2006/main" xmlns:pic="http://schemas.openxmlformats.org/drawingml/2006/picture">
            <wp:extent cx="891771" cy="612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91771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五　</w:t>
      </w:r>
      <w:r>
        <w:t>五行也。从二，陰陽在天地閒交午也。凡五之屬皆从五。（《说文解字》卷十四·五部）</w:t>
      </w:r>
    </w:p>
    <w:p>
      <w:r>
        <w:drawing>
          <wp:inline xmlns:a="http://schemas.openxmlformats.org/drawingml/2006/main" xmlns:pic="http://schemas.openxmlformats.org/drawingml/2006/picture">
            <wp:extent cx="461217" cy="612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1217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年　</w:t>
      </w:r>
      <w:r>
        <w:t>穀孰也。从禾千聲。《春秋傳》曰：“大有秊。”（《说文解字》卷七·禾部）</w:t>
      </w:r>
    </w:p>
    <w:p>
      <w:r>
        <w:drawing>
          <wp:inline xmlns:a="http://schemas.openxmlformats.org/drawingml/2006/main" xmlns:pic="http://schemas.openxmlformats.org/drawingml/2006/picture">
            <wp:extent cx="557194" cy="612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7194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書　</w:t>
      </w:r>
      <w:r>
        <w:t>箸也。从聿者聲。（《说文解字》卷三·聿部）</w:t>
      </w:r>
    </w:p>
    <w:p>
      <w:r>
        <w:drawing>
          <wp:inline xmlns:a="http://schemas.openxmlformats.org/drawingml/2006/main" xmlns:pic="http://schemas.openxmlformats.org/drawingml/2006/picture">
            <wp:extent cx="589333" cy="6120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9333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有　</w:t>
      </w:r>
      <w:r>
        <w:t>不宜有也。《春秋傳》曰：“日月有食之。”从月又聲。凡有之屬皆从有。（《说文解字》卷七·有部）</w:t>
      </w:r>
    </w:p>
    <w:p>
      <w:r>
        <w:drawing>
          <wp:inline xmlns:a="http://schemas.openxmlformats.org/drawingml/2006/main" xmlns:pic="http://schemas.openxmlformats.org/drawingml/2006/picture">
            <wp:extent cx="612000" cy="612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物　</w:t>
      </w:r>
      <w:r>
        <w:t>萬物也。牛爲大物；天地之𢿙，起於牽牛，故从牛。勿聲。（《说文解字》卷二·牛部）</w:t>
      </w:r>
    </w:p>
    <w:p>
      <w:pPr>
        <w:pStyle w:val="Caption"/>
      </w:pPr>
      <w:r>
        <w:t>图2  6-36 逐字字形与本义（共 6 字，按原简文字序）。字形出处：秦簡字形庫（www.kaom.net）《里耶1》；本义出处：《说文解字》大徐本。</w:t>
      </w:r>
    </w:p>
    <w:p>
      <w:pPr>
        <w:pStyle w:val="Heading1"/>
      </w:pPr>
      <w:r>
        <w:t>释文</w:t>
      </w:r>
    </w:p>
    <w:p>
      <w:r>
        <w:t>……Ⅰ</w:t>
      </w:r>
    </w:p>
    <w:p>
      <w:r>
        <w:t>〼廿五年书有物Ⅱ6-36</w:t>
      </w:r>
    </w:p>
    <w:p>
      <w:pPr>
        <w:pStyle w:val="Heading1"/>
      </w:pPr>
      <w:r>
        <w:t>文字</w:t>
      </w:r>
    </w:p>
    <w:p>
      <w:pPr>
        <w:pStyle w:val="Heading1"/>
      </w:pPr>
      <w:r>
        <w:t>书法</w:t>
      </w:r>
    </w:p>
    <w:p>
      <w:r>
        <w:t>残牍，正面两栏，第二栏「廿五年书有物」字迹较清楚。（据图1）</w:t>
      </w:r>
    </w:p>
    <w:p>
      <w:pPr>
        <w:pStyle w:val="Heading1"/>
      </w:pPr>
      <w:r>
        <w:t>简牍形制</w:t>
      </w:r>
    </w:p>
    <w:p>
      <w:r>
        <w:t>残牍，单面书写，字分两栏。（据释文）</w:t>
      </w:r>
    </w:p>
    <w:p>
      <w:pPr>
        <w:pStyle w:val="Heading1"/>
      </w:pPr>
      <w:r>
        <w:t>书写方式</w:t>
      </w:r>
    </w:p>
    <w:p>
      <w:r>
        <w:t>墨色中等。（据图1）</w:t>
      </w:r>
    </w:p>
    <w:p>
      <w:pPr>
        <w:pStyle w:val="Heading1"/>
      </w:pPr>
      <w:r>
        <w:t>美育价值</w:t>
      </w:r>
    </w:p>
    <w:p>
      <w:r>
        <w:t>「廿五年」是秦王政二十五年，公元前二二二年。</w:t>
      </w:r>
    </w:p>
    <w:sectPr w:rsidR="00FC693F" w:rsidRPr="0006063C" w:rsidSect="00034616">
      <w:foot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color w:val="000000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480" w:firstLineChars="200"/>
      <w:jc w:val="both"/>
    </w:pPr>
    <w:rPr>
      <w:rFonts w:ascii="Times New Roman" w:hAnsi="Times New Roman" w:eastAsia="宋体"/>
      <w:b w:val="0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jc w:val="left"/>
      <w:outlineLvl w:val="0"/>
    </w:pPr>
    <w:rPr>
      <w:rFonts w:ascii="Times New Roman" w:hAnsi="Times New Roman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60" w:line="240" w:lineRule="auto" w:before="0"/>
      <w:contextualSpacing/>
      <w:jc w:val="center"/>
    </w:pPr>
    <w:rPr>
      <w:rFonts w:ascii="Times New Roman" w:hAnsi="Times New Roman" w:eastAsia="黑体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Times New Roman" w:hAnsi="Times New Roman" w:eastAsia="宋体"/>
      <w:b w:val="0"/>
      <w:bCs/>
      <w:color w:val="000000"/>
      <w:sz w:val="2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