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J1⑥4：迁陵守丞告船官（假船二艘）</w:t>
      </w:r>
    </w:p>
    <w:p>
      <w:pPr>
        <w:pStyle w:val="Heading1"/>
      </w:pPr>
      <w:r>
        <w:t>来源出处</w:t>
      </w:r>
    </w:p>
    <w:p>
      <w:r>
        <w:t>里耶古城一号井第六层出土，原整理号 6-4。</w:t>
      </w:r>
    </w:p>
    <w:p>
      <w:r>
        <w:t>释文、注释：《里耶秦简牍校释》第一卷，第 19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0326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326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6-4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4701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0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52292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2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461886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8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00714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1246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2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53280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03793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390638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6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72259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2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83157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敦　</w:t>
      </w:r>
      <w:r>
        <w:t>怒也。詆也。一曰誰何也。从攴𦎫聲。（《说文解字》卷三·攴部）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511291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狐　</w:t>
      </w:r>
      <w:r>
        <w:t>䄏獸也。鬼所乘之。有三徳：其色中和，小前大後，死則丘首。从犬瓜聲。（《说文解字》卷十·犬部）</w:t>
      </w:r>
    </w:p>
    <w:p>
      <w:r>
        <w:drawing>
          <wp:inline xmlns:a="http://schemas.openxmlformats.org/drawingml/2006/main" xmlns:pic="http://schemas.openxmlformats.org/drawingml/2006/picture">
            <wp:extent cx="486246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2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16623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船　</w:t>
      </w:r>
      <w:r>
        <w:t>舟也。从舟，鉛省聲。（《说文解字》卷八·舟部）</w:t>
      </w:r>
    </w:p>
    <w:p>
      <w:r>
        <w:drawing>
          <wp:inline xmlns:a="http://schemas.openxmlformats.org/drawingml/2006/main" xmlns:pic="http://schemas.openxmlformats.org/drawingml/2006/picture">
            <wp:extent cx="539526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45696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30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64275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08372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83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㢜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6262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2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讎　</w:t>
      </w:r>
      <w:r>
        <w:t>猶𧭭也。从言雔聲。（《说文解字》卷三·言部）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93428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93931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20363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沅　</w:t>
      </w:r>
      <w:r>
        <w:t>水。出牂牁故且蘭，東北入江。从水元聲。（《说文解字》卷十一·水部）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34322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43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21333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9875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假　</w:t>
      </w:r>
      <w:r>
        <w:t>非眞也。从人叚聲。一曰至也。《虞書》曰：“假于上下。”（《说文解字》卷八·人部）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船　</w:t>
      </w:r>
      <w:r>
        <w:t>舟也。从舟，鉛省聲。（《说文解字》卷八·舟部）</w:t>
      </w:r>
    </w:p>
    <w:p>
      <w:r>
        <w:drawing>
          <wp:inline xmlns:a="http://schemas.openxmlformats.org/drawingml/2006/main" xmlns:pic="http://schemas.openxmlformats.org/drawingml/2006/picture">
            <wp:extent cx="549762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7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389946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99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㮴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61371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3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勿　</w:t>
      </w:r>
      <w:r>
        <w:t>州里所建旗。象其柄，有三游。雜帛，幅半異。所以趣民，故遽，稱勿勿。凡勿之屬皆从勿。（《说文解字》卷九·勿部）</w:t>
      </w:r>
    </w:p>
    <w:p>
      <w:r>
        <w:drawing>
          <wp:inline xmlns:a="http://schemas.openxmlformats.org/drawingml/2006/main" xmlns:pic="http://schemas.openxmlformats.org/drawingml/2006/picture">
            <wp:extent cx="290545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留　</w:t>
      </w:r>
      <w:r>
        <w:t>《说文解字》未收此字。</w:t>
      </w:r>
    </w:p>
    <w:p>
      <w:pPr>
        <w:pStyle w:val="Caption"/>
      </w:pPr>
      <w:r>
        <w:t>图2  6-4 逐字字形与本义（共 32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□年四月□□朔己卯，迁陵守丞敦狐告船官Ⅰ□</w:t>
      </w:r>
      <w:r>
        <w:rPr>
          <w:vertAlign w:val="superscript"/>
          <w:sz w:val="18"/>
          <w:szCs w:val="18"/>
        </w:rPr>
        <w:t xml:space="preserve">［1］</w:t>
      </w:r>
      <w:r>
        <w:t>：令史㢜雠律令沅陵</w:t>
      </w:r>
      <w:r>
        <w:rPr>
          <w:vertAlign w:val="superscript"/>
          <w:sz w:val="18"/>
          <w:szCs w:val="18"/>
        </w:rPr>
        <w:t xml:space="preserve">［2］</w:t>
      </w:r>
      <w:r>
        <w:t>，其假船二㮴</w:t>
      </w:r>
      <w:r>
        <w:rPr>
          <w:vertAlign w:val="superscript"/>
          <w:sz w:val="18"/>
          <w:szCs w:val="18"/>
        </w:rPr>
        <w:t xml:space="preserve">［3］</w:t>
      </w:r>
      <w:r>
        <w:t>，勿Ⅱ留。Ⅲ6-4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敦狐，人名，亦见于8-135等简。船官，官名，管理船只。第二栏首字应是船官长之名。</w:t>
      </w:r>
    </w:p>
    <w:p>
      <w:r>
        <w:t>[2] 令史，官名，职掌文书等事。睡虎地秦简《编年记》：“（今）六年四月，为安陆令史。”整理小组注释云：“令史，县令的属吏，职掌文书等事。《史记·项羽本纪》集解引《汉仪注》：‘令吏曰令史，丞吏曰丞史。’”㢜（原释文作“懭”），人名。</w:t>
      </w:r>
    </w:p>
    <w:p>
      <w:r>
        <w:t>沅陵，县名，《汉书·地理志》属武陵郡。治所在今湖南沅陵县南。</w:t>
      </w:r>
    </w:p>
    <w:p>
      <w:r>
        <w:t>雠律令，校勘律令。《慧琳音义》卷七十七“雠校”注引《风俗通》云：“二人对校为雠。”《正字通·言部》：“雠，校勘书籍曰雠，比言两本相对覆如仇雠。”参看8-173。</w:t>
      </w:r>
    </w:p>
    <w:p>
      <w:r>
        <w:t>[3] 假，借。㮴，《字汇·木部》：“同艘”。《汉书·沟洫志》：“谒者二人发河南以东漕船五百㮴”，颜注：“一船为一㮴。”江陵凤凰山8号汉墓78号简：“船一㮴。”</w:t>
      </w:r>
    </w:p>
    <w:p>
      <w:pPr>
        <w:pStyle w:val="Heading1"/>
      </w:pPr>
      <w:r>
        <w:t>书法</w:t>
      </w:r>
    </w:p>
    <w:p>
      <w:r>
        <w:t>窄牍三栏连书，字小而密，行距极紧；笔画细挺，转折处方折。（据图1）</w:t>
      </w:r>
    </w:p>
    <w:p>
      <w:pPr>
        <w:pStyle w:val="Heading1"/>
      </w:pPr>
      <w:r>
        <w:t>简牍形制</w:t>
      </w:r>
    </w:p>
    <w:p>
      <w:r>
        <w:t>窄牍，单面书写，字分三栏。（据释文）</w:t>
      </w:r>
    </w:p>
    <w:p>
      <w:pPr>
        <w:pStyle w:val="Heading1"/>
      </w:pPr>
      <w:r>
        <w:t>书写方式</w:t>
      </w:r>
    </w:p>
    <w:p>
      <w:r>
        <w:t>墨色浓，行笔快，末栏以Ⅲ收尾。（据图1）</w:t>
      </w:r>
    </w:p>
    <w:p>
      <w:pPr>
        <w:pStyle w:val="Heading1"/>
      </w:pPr>
      <w:r>
        <w:t>美育价值</w:t>
      </w:r>
    </w:p>
    <w:p>
      <w:r>
        <w:t>「其假船二㮴，勿留」——批一件借船的事，几个字就够了。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